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49" w:rsidRPr="00977865" w:rsidRDefault="00196490" w:rsidP="000062E1">
      <w:pPr>
        <w:spacing w:before="100" w:beforeAutospacing="1" w:after="0" w:line="360" w:lineRule="auto"/>
        <w:rPr>
          <w:rFonts w:ascii="Arial" w:hAnsi="Arial" w:cs="Arial"/>
          <w:b/>
          <w:sz w:val="24"/>
          <w:szCs w:val="24"/>
        </w:rPr>
      </w:pPr>
      <w:r w:rsidRPr="00977865">
        <w:rPr>
          <w:rFonts w:ascii="Arial" w:hAnsi="Arial" w:cs="Arial"/>
          <w:b/>
          <w:sz w:val="24"/>
          <w:szCs w:val="24"/>
        </w:rPr>
        <w:t xml:space="preserve">Impfen </w:t>
      </w:r>
      <w:r w:rsidR="008F27F9">
        <w:rPr>
          <w:rFonts w:ascii="Arial" w:hAnsi="Arial" w:cs="Arial"/>
          <w:b/>
          <w:sz w:val="24"/>
          <w:szCs w:val="24"/>
        </w:rPr>
        <w:t>schützt Hund und Katze</w:t>
      </w:r>
    </w:p>
    <w:p w:rsidR="000062E1" w:rsidRPr="00977865"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lang w:eastAsia="de-DE"/>
        </w:rPr>
        <w:t xml:space="preserve">Die Impfung ist eine wirksame Prophylaxe </w:t>
      </w:r>
      <w:r w:rsidR="009E6CB2">
        <w:rPr>
          <w:rFonts w:ascii="Arial" w:eastAsia="Times New Roman" w:hAnsi="Arial" w:cs="Arial"/>
          <w:lang w:eastAsia="de-DE"/>
        </w:rPr>
        <w:t>gegen</w:t>
      </w:r>
      <w:r w:rsidRPr="00977865">
        <w:rPr>
          <w:rFonts w:ascii="Arial" w:eastAsia="Times New Roman" w:hAnsi="Arial" w:cs="Arial"/>
          <w:lang w:eastAsia="de-DE"/>
        </w:rPr>
        <w:t xml:space="preserve"> Infektionskrankheiten bei Hund und Katze. Gegen nahezu jede gefährliche Infektionskrankheit können Hunde und Katzen heute sehr verträglich geimpft werden. Die Impfung ist deshalb aus Gründen des Tierschutzes unverzichtbar.</w:t>
      </w:r>
    </w:p>
    <w:p w:rsidR="000062E1" w:rsidRPr="00977865"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b/>
          <w:bCs/>
          <w:lang w:eastAsia="de-DE"/>
        </w:rPr>
        <w:t>Welche Impfstoffe gibt es?</w:t>
      </w:r>
    </w:p>
    <w:p w:rsidR="000062E1" w:rsidRPr="00977865"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lang w:eastAsia="de-DE"/>
        </w:rPr>
        <w:t>Impfstoffe stehen gegen Viren, Bakterien, Pilze und einige einzellige Parasiten zur Verfügung. Es gibt zwei Impfstoffklassen - die sogenannten “Lebendvakzinen” und “Totvakzinen”.</w:t>
      </w:r>
    </w:p>
    <w:p w:rsidR="000062E1" w:rsidRPr="00977865"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b/>
          <w:bCs/>
          <w:lang w:eastAsia="de-DE"/>
        </w:rPr>
        <w:t>Lebendvakzinen:</w:t>
      </w:r>
      <w:r w:rsidRPr="00977865">
        <w:rPr>
          <w:rFonts w:ascii="Arial" w:eastAsia="Times New Roman" w:hAnsi="Arial" w:cs="Arial"/>
          <w:lang w:eastAsia="de-DE"/>
        </w:rPr>
        <w:t xml:space="preserve"> Lebendvakzinen basieren auf vermehrungsfähigen Erregern. In den meisten Fällen handelt es sich um Viren, die derart verändert worden sind, dass sie sich zwar im Wirt vermehren, aber keine Krankheit mehr verursachen können. Das Impfvirus vermehrt sich im Wirt, verteilt sich im Organismus und wird auch ausgeschieden. Eine Impfung ähnelt in diesem Fall daher einer Feldvirusinfektion. Deshalb ist auch generell die Immunität nach einer Impfung mit Lebendvakzinen sehr gut. </w:t>
      </w:r>
    </w:p>
    <w:p w:rsidR="000062E1" w:rsidRPr="00977865"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b/>
          <w:bCs/>
          <w:lang w:eastAsia="de-DE"/>
        </w:rPr>
        <w:t xml:space="preserve">Totvakzinen (inaktivierte Vakzinen): </w:t>
      </w:r>
      <w:r w:rsidRPr="00977865">
        <w:rPr>
          <w:rFonts w:ascii="Arial" w:eastAsia="Times New Roman" w:hAnsi="Arial" w:cs="Arial"/>
          <w:lang w:eastAsia="de-DE"/>
        </w:rPr>
        <w:t xml:space="preserve">Die Erreger in inaktivierten Vakzinen sind abgetötet und können sich nicht mehr im Impfling vermehren. Aber sie lösen ebenfalls eine Abwehrreaktion (Immunreaktion) aus. Da sich die Erreger nicht vermehren können, ist die injizierte Menge auch gleichzeitig das Maximum, gegen das der Impfling reagieren kann. Die Immunantwort ist aus diesen Gründen in aller Regel schwächer ausgeprägt als bei einer Lebendvakzine. </w:t>
      </w:r>
      <w:r w:rsidR="00D043B6">
        <w:rPr>
          <w:rFonts w:ascii="Arial" w:eastAsia="Times New Roman" w:hAnsi="Arial" w:cs="Arial"/>
          <w:lang w:eastAsia="de-DE"/>
        </w:rPr>
        <w:t xml:space="preserve">Durch Adjuvantien (Hilfsstoffe) kann die Immunantwort verbessert werden. </w:t>
      </w:r>
      <w:r w:rsidRPr="00977865">
        <w:rPr>
          <w:rFonts w:ascii="Arial" w:eastAsia="Times New Roman" w:hAnsi="Arial" w:cs="Arial"/>
          <w:lang w:eastAsia="de-DE"/>
        </w:rPr>
        <w:t xml:space="preserve">Die Immunität </w:t>
      </w:r>
      <w:r w:rsidR="00D043B6">
        <w:rPr>
          <w:rFonts w:ascii="Arial" w:eastAsia="Times New Roman" w:hAnsi="Arial" w:cs="Arial"/>
          <w:lang w:eastAsia="de-DE"/>
        </w:rPr>
        <w:t xml:space="preserve">muss </w:t>
      </w:r>
      <w:r w:rsidRPr="00977865">
        <w:rPr>
          <w:rFonts w:ascii="Arial" w:eastAsia="Times New Roman" w:hAnsi="Arial" w:cs="Arial"/>
          <w:lang w:eastAsia="de-DE"/>
        </w:rPr>
        <w:t>mit Wiederholungsimpfungen aufgefrischt werden.</w:t>
      </w:r>
      <w:r w:rsidR="00D043B6">
        <w:rPr>
          <w:rFonts w:ascii="Arial" w:eastAsia="Times New Roman" w:hAnsi="Arial" w:cs="Arial"/>
          <w:lang w:eastAsia="de-DE"/>
        </w:rPr>
        <w:t xml:space="preserve"> </w:t>
      </w:r>
    </w:p>
    <w:p w:rsidR="000062E1" w:rsidRPr="00977865"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b/>
          <w:bCs/>
          <w:lang w:eastAsia="de-DE"/>
        </w:rPr>
        <w:t>Wie soll geimpft werden?</w:t>
      </w:r>
    </w:p>
    <w:p w:rsidR="001F25C3"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lang w:eastAsia="de-DE"/>
        </w:rPr>
        <w:t xml:space="preserve">Man unterscheidet die </w:t>
      </w:r>
      <w:r w:rsidRPr="00977865">
        <w:rPr>
          <w:rFonts w:ascii="Arial" w:eastAsia="Times New Roman" w:hAnsi="Arial" w:cs="Arial"/>
          <w:b/>
          <w:bCs/>
          <w:lang w:eastAsia="de-DE"/>
        </w:rPr>
        <w:t xml:space="preserve">Grundimmunisierung </w:t>
      </w:r>
      <w:r w:rsidRPr="00977865">
        <w:rPr>
          <w:rFonts w:ascii="Arial" w:eastAsia="Times New Roman" w:hAnsi="Arial" w:cs="Arial"/>
          <w:lang w:eastAsia="de-DE"/>
        </w:rPr>
        <w:t xml:space="preserve">im ersten </w:t>
      </w:r>
      <w:r w:rsidR="00066CBE">
        <w:rPr>
          <w:rFonts w:ascii="Arial" w:eastAsia="Times New Roman" w:hAnsi="Arial" w:cs="Arial"/>
          <w:lang w:eastAsia="de-DE"/>
        </w:rPr>
        <w:t xml:space="preserve">und bis in das zweite </w:t>
      </w:r>
      <w:r w:rsidRPr="00977865">
        <w:rPr>
          <w:rFonts w:ascii="Arial" w:eastAsia="Times New Roman" w:hAnsi="Arial" w:cs="Arial"/>
          <w:lang w:eastAsia="de-DE"/>
        </w:rPr>
        <w:t xml:space="preserve">Lebensjahr und die </w:t>
      </w:r>
      <w:r w:rsidRPr="00977865">
        <w:rPr>
          <w:rFonts w:ascii="Arial" w:eastAsia="Times New Roman" w:hAnsi="Arial" w:cs="Arial"/>
          <w:b/>
          <w:bCs/>
          <w:lang w:eastAsia="de-DE"/>
        </w:rPr>
        <w:t>Wiederholungsimpfungen</w:t>
      </w:r>
      <w:r w:rsidRPr="00977865">
        <w:rPr>
          <w:rFonts w:ascii="Arial" w:eastAsia="Times New Roman" w:hAnsi="Arial" w:cs="Arial"/>
          <w:lang w:eastAsia="de-DE"/>
        </w:rPr>
        <w:t>, die meist in jährlichen Abständen durchgeführt werden. Die Zielsetzung dieser Impfungen ist grundsätzlich verschieden. Die Grundimmunisierung stellt den ersten Kontakt mit dem Erreger oder seinen Bestandteilen dar und besteht in aller Regel aus mehreren aufeinanderfolgenden Impfungen in den ersten Lebenswochen des Welpen. Sie prägt die Immunzellen für das Antigen und legt den Grundstein für eine belastbare Immunität. Bei Verabreichung einer inaktivierten Vakzine kann die Höhe der Immunantwort (Antikörperantwort) gesteigert werden, wenn ein zweiter Kontakt mit de</w:t>
      </w:r>
      <w:r w:rsidR="00066CBE">
        <w:rPr>
          <w:rFonts w:ascii="Arial" w:eastAsia="Times New Roman" w:hAnsi="Arial" w:cs="Arial"/>
          <w:lang w:eastAsia="de-DE"/>
        </w:rPr>
        <w:t>m Antigen (z.B. de</w:t>
      </w:r>
      <w:r w:rsidRPr="00977865">
        <w:rPr>
          <w:rFonts w:ascii="Arial" w:eastAsia="Times New Roman" w:hAnsi="Arial" w:cs="Arial"/>
          <w:lang w:eastAsia="de-DE"/>
        </w:rPr>
        <w:t>n Virusbestandteilen</w:t>
      </w:r>
      <w:r w:rsidR="00066CBE">
        <w:rPr>
          <w:rFonts w:ascii="Arial" w:eastAsia="Times New Roman" w:hAnsi="Arial" w:cs="Arial"/>
          <w:lang w:eastAsia="de-DE"/>
        </w:rPr>
        <w:t>)</w:t>
      </w:r>
      <w:r w:rsidRPr="00977865">
        <w:rPr>
          <w:rFonts w:ascii="Arial" w:eastAsia="Times New Roman" w:hAnsi="Arial" w:cs="Arial"/>
          <w:lang w:eastAsia="de-DE"/>
        </w:rPr>
        <w:t xml:space="preserve"> etwa drei bis vier Wochen später erfolgt. Dies ist der </w:t>
      </w:r>
      <w:r w:rsidRPr="00977865">
        <w:rPr>
          <w:rFonts w:ascii="Arial" w:eastAsia="Times New Roman" w:hAnsi="Arial" w:cs="Arial"/>
          <w:lang w:eastAsia="de-DE"/>
        </w:rPr>
        <w:lastRenderedPageBreak/>
        <w:t xml:space="preserve">Grund, warum die zweite </w:t>
      </w:r>
      <w:r w:rsidR="00A6768F">
        <w:rPr>
          <w:rFonts w:ascii="Arial" w:eastAsia="Times New Roman" w:hAnsi="Arial" w:cs="Arial"/>
          <w:lang w:eastAsia="de-DE"/>
        </w:rPr>
        <w:t xml:space="preserve">und ggf. dritte </w:t>
      </w:r>
      <w:r w:rsidRPr="00977865">
        <w:rPr>
          <w:rFonts w:ascii="Arial" w:eastAsia="Times New Roman" w:hAnsi="Arial" w:cs="Arial"/>
          <w:lang w:eastAsia="de-DE"/>
        </w:rPr>
        <w:t xml:space="preserve">Impfung im Rahmen der Grundimmunisierung unbedingt durchgeführt werden muss und genauso wichtig ist wie die erste Impfung. </w:t>
      </w:r>
      <w:r w:rsidR="00A83D81">
        <w:rPr>
          <w:rFonts w:ascii="Arial" w:eastAsia="Times New Roman" w:hAnsi="Arial" w:cs="Arial"/>
          <w:lang w:eastAsia="de-DE"/>
        </w:rPr>
        <w:t>Bei den meisten Impfstoffen ist zum Abschluss der Grundimmuni</w:t>
      </w:r>
      <w:r w:rsidR="00A6768F">
        <w:rPr>
          <w:rFonts w:ascii="Arial" w:eastAsia="Times New Roman" w:hAnsi="Arial" w:cs="Arial"/>
          <w:lang w:eastAsia="de-DE"/>
        </w:rPr>
        <w:t xml:space="preserve">sierung </w:t>
      </w:r>
      <w:r w:rsidR="00A83D81">
        <w:rPr>
          <w:rFonts w:ascii="Arial" w:eastAsia="Times New Roman" w:hAnsi="Arial" w:cs="Arial"/>
          <w:lang w:eastAsia="de-DE"/>
        </w:rPr>
        <w:t xml:space="preserve">eine weitere Impfung nach einem Jahr erforderlich. </w:t>
      </w:r>
      <w:r w:rsidRPr="00977865">
        <w:rPr>
          <w:rFonts w:ascii="Arial" w:eastAsia="Times New Roman" w:hAnsi="Arial" w:cs="Arial"/>
          <w:lang w:eastAsia="de-DE"/>
        </w:rPr>
        <w:t xml:space="preserve">Die Wiederholungsimpfung soll dagegen einen bereits bestehenden Impfschutz auffrischen. </w:t>
      </w:r>
    </w:p>
    <w:p w:rsidR="000062E1" w:rsidRPr="00977865"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b/>
          <w:bCs/>
          <w:lang w:eastAsia="de-DE"/>
        </w:rPr>
        <w:t>Impfempfehlungen für Hunde</w:t>
      </w:r>
    </w:p>
    <w:p w:rsidR="001F25C3"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lang w:eastAsia="de-DE"/>
        </w:rPr>
        <w:t>Nach der "Leitlinie zur Impfung von Kleintieren" (St</w:t>
      </w:r>
      <w:r w:rsidR="00D043B6">
        <w:rPr>
          <w:rFonts w:ascii="Arial" w:eastAsia="Times New Roman" w:hAnsi="Arial" w:cs="Arial"/>
          <w:lang w:eastAsia="de-DE"/>
        </w:rPr>
        <w:t>ändige Impfkommission</w:t>
      </w:r>
      <w:r w:rsidRPr="00977865">
        <w:rPr>
          <w:rFonts w:ascii="Arial" w:eastAsia="Times New Roman" w:hAnsi="Arial" w:cs="Arial"/>
          <w:lang w:eastAsia="de-DE"/>
        </w:rPr>
        <w:t xml:space="preserve"> Vet</w:t>
      </w:r>
      <w:r w:rsidR="00066CBE">
        <w:rPr>
          <w:rFonts w:ascii="Arial" w:eastAsia="Times New Roman" w:hAnsi="Arial" w:cs="Arial"/>
          <w:lang w:eastAsia="de-DE"/>
        </w:rPr>
        <w:t>erinärmedizin, StIKo Vet</w:t>
      </w:r>
      <w:r w:rsidRPr="00977865">
        <w:rPr>
          <w:rFonts w:ascii="Arial" w:eastAsia="Times New Roman" w:hAnsi="Arial" w:cs="Arial"/>
          <w:lang w:eastAsia="de-DE"/>
        </w:rPr>
        <w:t xml:space="preserve">) sollten Hunde in Deutschland grundsätzlich gegen ansteckende Leberentzündung, Leptospirose, Parvovirose, Staupe und Tollwut geimpft werden (Pflichtimpfungen, Core-Komponenten). </w:t>
      </w:r>
      <w:r w:rsidR="00AF223A" w:rsidRPr="00977865">
        <w:rPr>
          <w:rFonts w:ascii="Arial" w:eastAsia="Times New Roman" w:hAnsi="Arial" w:cs="Arial"/>
          <w:lang w:eastAsia="de-DE"/>
        </w:rPr>
        <w:t xml:space="preserve">Die Erstimpfung nimmt der Tierarzt </w:t>
      </w:r>
      <w:r w:rsidR="00C60278">
        <w:rPr>
          <w:rFonts w:ascii="Arial" w:eastAsia="Times New Roman" w:hAnsi="Arial" w:cs="Arial"/>
          <w:lang w:eastAsia="de-DE"/>
        </w:rPr>
        <w:t>im</w:t>
      </w:r>
      <w:r w:rsidR="000B1E59">
        <w:rPr>
          <w:rFonts w:ascii="Arial" w:eastAsia="Times New Roman" w:hAnsi="Arial" w:cs="Arial"/>
          <w:lang w:eastAsia="de-DE"/>
        </w:rPr>
        <w:t xml:space="preserve"> </w:t>
      </w:r>
      <w:r w:rsidR="00C60278">
        <w:rPr>
          <w:rFonts w:ascii="Arial" w:eastAsia="Times New Roman" w:hAnsi="Arial" w:cs="Arial"/>
          <w:lang w:eastAsia="de-DE"/>
        </w:rPr>
        <w:t>Alter von 8</w:t>
      </w:r>
      <w:r w:rsidR="00AF223A" w:rsidRPr="00977865">
        <w:rPr>
          <w:rFonts w:ascii="Arial" w:eastAsia="Times New Roman" w:hAnsi="Arial" w:cs="Arial"/>
          <w:lang w:eastAsia="de-DE"/>
        </w:rPr>
        <w:t xml:space="preserve"> Lebenswoche</w:t>
      </w:r>
      <w:r w:rsidR="00C60278">
        <w:rPr>
          <w:rFonts w:ascii="Arial" w:eastAsia="Times New Roman" w:hAnsi="Arial" w:cs="Arial"/>
          <w:lang w:eastAsia="de-DE"/>
        </w:rPr>
        <w:t>n</w:t>
      </w:r>
      <w:r w:rsidR="00AF223A" w:rsidRPr="00977865">
        <w:rPr>
          <w:rFonts w:ascii="Arial" w:eastAsia="Times New Roman" w:hAnsi="Arial" w:cs="Arial"/>
          <w:lang w:eastAsia="de-DE"/>
        </w:rPr>
        <w:t xml:space="preserve"> (außer Tollwut) vor. Danach sind noch drei weitere Impfungen </w:t>
      </w:r>
      <w:r w:rsidR="000B1E59">
        <w:rPr>
          <w:rFonts w:ascii="Arial" w:eastAsia="Times New Roman" w:hAnsi="Arial" w:cs="Arial"/>
          <w:lang w:eastAsia="de-DE"/>
        </w:rPr>
        <w:t>i</w:t>
      </w:r>
      <w:r w:rsidR="00C60278">
        <w:rPr>
          <w:rFonts w:ascii="Arial" w:eastAsia="Times New Roman" w:hAnsi="Arial" w:cs="Arial"/>
          <w:lang w:eastAsia="de-DE"/>
        </w:rPr>
        <w:t xml:space="preserve">m Alter von 12 und 16 </w:t>
      </w:r>
      <w:r w:rsidR="00AF223A" w:rsidRPr="00977865">
        <w:rPr>
          <w:rFonts w:ascii="Arial" w:eastAsia="Times New Roman" w:hAnsi="Arial" w:cs="Arial"/>
          <w:lang w:eastAsia="de-DE"/>
        </w:rPr>
        <w:t>Lebenswoche</w:t>
      </w:r>
      <w:r w:rsidR="00C60278">
        <w:rPr>
          <w:rFonts w:ascii="Arial" w:eastAsia="Times New Roman" w:hAnsi="Arial" w:cs="Arial"/>
          <w:lang w:eastAsia="de-DE"/>
        </w:rPr>
        <w:t>n</w:t>
      </w:r>
      <w:r w:rsidR="00AF223A" w:rsidRPr="00977865">
        <w:rPr>
          <w:rFonts w:ascii="Arial" w:eastAsia="Times New Roman" w:hAnsi="Arial" w:cs="Arial"/>
          <w:lang w:eastAsia="de-DE"/>
        </w:rPr>
        <w:t xml:space="preserve"> sowie im </w:t>
      </w:r>
      <w:r w:rsidR="00C60278">
        <w:rPr>
          <w:rFonts w:ascii="Arial" w:eastAsia="Times New Roman" w:hAnsi="Arial" w:cs="Arial"/>
          <w:lang w:eastAsia="de-DE"/>
        </w:rPr>
        <w:t>Alter von 15</w:t>
      </w:r>
      <w:r w:rsidR="00AF223A" w:rsidRPr="00977865">
        <w:rPr>
          <w:rFonts w:ascii="Arial" w:eastAsia="Times New Roman" w:hAnsi="Arial" w:cs="Arial"/>
          <w:lang w:eastAsia="de-DE"/>
        </w:rPr>
        <w:t xml:space="preserve"> Lebensmonat</w:t>
      </w:r>
      <w:r w:rsidR="00C60278">
        <w:rPr>
          <w:rFonts w:ascii="Arial" w:eastAsia="Times New Roman" w:hAnsi="Arial" w:cs="Arial"/>
          <w:lang w:eastAsia="de-DE"/>
        </w:rPr>
        <w:t>en</w:t>
      </w:r>
      <w:r w:rsidR="00AF223A" w:rsidRPr="00977865">
        <w:rPr>
          <w:rFonts w:ascii="Arial" w:eastAsia="Times New Roman" w:hAnsi="Arial" w:cs="Arial"/>
          <w:lang w:eastAsia="de-DE"/>
        </w:rPr>
        <w:t xml:space="preserve"> notwendig, denen auch der Tollwutimpfstoff zugefügt werden kann. Danach ist die Grundimmunisierung abgeschlossen</w:t>
      </w:r>
      <w:r w:rsidR="00AF223A">
        <w:rPr>
          <w:rFonts w:ascii="Arial" w:eastAsia="Times New Roman" w:hAnsi="Arial" w:cs="Arial"/>
          <w:lang w:eastAsia="de-DE"/>
        </w:rPr>
        <w:t xml:space="preserve">. </w:t>
      </w:r>
      <w:r w:rsidRPr="00977865">
        <w:rPr>
          <w:rFonts w:ascii="Arial" w:eastAsia="Times New Roman" w:hAnsi="Arial" w:cs="Arial"/>
          <w:lang w:eastAsia="de-DE"/>
        </w:rPr>
        <w:t>Individuell können je nach regionalen Gegebenheiten und/oder Haltungsbedingungen noch weitere Impfungen wie beispielsweise gegen canines Parainfluenzavirus, canines Herpesvirus (CHV-1), Bordetella bronchiseptica</w:t>
      </w:r>
      <w:r w:rsidR="00F23EC1">
        <w:rPr>
          <w:rFonts w:ascii="Arial" w:eastAsia="Times New Roman" w:hAnsi="Arial" w:cs="Arial"/>
          <w:lang w:eastAsia="de-DE"/>
        </w:rPr>
        <w:t xml:space="preserve"> oder </w:t>
      </w:r>
      <w:r w:rsidR="0017773D">
        <w:rPr>
          <w:rFonts w:ascii="Arial" w:eastAsia="Times New Roman" w:hAnsi="Arial" w:cs="Arial"/>
          <w:lang w:eastAsia="de-DE"/>
        </w:rPr>
        <w:t>die Borreliose</w:t>
      </w:r>
      <w:r w:rsidRPr="00977865">
        <w:rPr>
          <w:rFonts w:ascii="Arial" w:eastAsia="Times New Roman" w:hAnsi="Arial" w:cs="Arial"/>
          <w:lang w:eastAsia="de-DE"/>
        </w:rPr>
        <w:t xml:space="preserve"> ratsam sein.</w:t>
      </w:r>
      <w:r w:rsidR="00D077EA">
        <w:rPr>
          <w:rFonts w:ascii="Arial" w:eastAsia="Times New Roman" w:hAnsi="Arial" w:cs="Arial"/>
          <w:lang w:eastAsia="de-DE"/>
        </w:rPr>
        <w:t xml:space="preserve"> Je nach individuellem Gefährdungsrisiko des Tieres besteht auch die Möglichkeit einer Impfung gegen Hautpilzerkrankungen (Dermatophytose) oder bei Reisen in</w:t>
      </w:r>
      <w:r w:rsidR="00A6768F">
        <w:rPr>
          <w:rFonts w:ascii="Arial" w:eastAsia="Times New Roman" w:hAnsi="Arial" w:cs="Arial"/>
          <w:lang w:eastAsia="de-DE"/>
        </w:rPr>
        <w:t xml:space="preserve"> südliche</w:t>
      </w:r>
      <w:r w:rsidR="00D077EA">
        <w:rPr>
          <w:rFonts w:ascii="Arial" w:eastAsia="Times New Roman" w:hAnsi="Arial" w:cs="Arial"/>
          <w:lang w:eastAsia="de-DE"/>
        </w:rPr>
        <w:t xml:space="preserve"> Länder gegen die Leishma</w:t>
      </w:r>
      <w:r w:rsidR="00E7326A">
        <w:rPr>
          <w:rFonts w:ascii="Arial" w:eastAsia="Times New Roman" w:hAnsi="Arial" w:cs="Arial"/>
          <w:lang w:eastAsia="de-DE"/>
        </w:rPr>
        <w:t xml:space="preserve">niose </w:t>
      </w:r>
      <w:r w:rsidR="00E7326A" w:rsidRPr="00977865">
        <w:rPr>
          <w:rFonts w:ascii="Arial" w:eastAsia="Times New Roman" w:hAnsi="Arial" w:cs="Arial"/>
          <w:lang w:eastAsia="de-DE"/>
        </w:rPr>
        <w:t>(Wahlimpfungen, Non-Core-Komponenten)</w:t>
      </w:r>
      <w:r w:rsidRPr="00977865">
        <w:rPr>
          <w:rFonts w:ascii="Arial" w:eastAsia="Times New Roman" w:hAnsi="Arial" w:cs="Arial"/>
          <w:lang w:eastAsia="de-DE"/>
        </w:rPr>
        <w:t xml:space="preserve">. </w:t>
      </w:r>
    </w:p>
    <w:p w:rsidR="000062E1" w:rsidRPr="00977865"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b/>
          <w:bCs/>
          <w:lang w:eastAsia="de-DE"/>
        </w:rPr>
        <w:t>Impfempfehlungen für Katzen</w:t>
      </w:r>
    </w:p>
    <w:p w:rsidR="00B844EA" w:rsidRDefault="000062E1" w:rsidP="000062E1">
      <w:pPr>
        <w:spacing w:before="100" w:beforeAutospacing="1" w:after="0" w:line="360" w:lineRule="auto"/>
        <w:rPr>
          <w:rFonts w:ascii="Arial" w:hAnsi="Arial" w:cs="Arial"/>
        </w:rPr>
      </w:pPr>
      <w:r w:rsidRPr="00977865">
        <w:rPr>
          <w:rFonts w:ascii="Arial" w:eastAsia="Times New Roman" w:hAnsi="Arial" w:cs="Arial"/>
          <w:lang w:eastAsia="de-DE"/>
        </w:rPr>
        <w:t>Nach der "Leitlinie zur Impfung von Kleintieren" (</w:t>
      </w:r>
      <w:r w:rsidR="00E7326A" w:rsidRPr="00977865">
        <w:rPr>
          <w:rFonts w:ascii="Arial" w:eastAsia="Times New Roman" w:hAnsi="Arial" w:cs="Arial"/>
          <w:lang w:eastAsia="de-DE"/>
        </w:rPr>
        <w:t>St</w:t>
      </w:r>
      <w:r w:rsidR="00E7326A">
        <w:rPr>
          <w:rFonts w:ascii="Arial" w:eastAsia="Times New Roman" w:hAnsi="Arial" w:cs="Arial"/>
          <w:lang w:eastAsia="de-DE"/>
        </w:rPr>
        <w:t>ändige Impfkommission</w:t>
      </w:r>
      <w:r w:rsidR="00E7326A" w:rsidRPr="00977865">
        <w:rPr>
          <w:rFonts w:ascii="Arial" w:eastAsia="Times New Roman" w:hAnsi="Arial" w:cs="Arial"/>
          <w:lang w:eastAsia="de-DE"/>
        </w:rPr>
        <w:t xml:space="preserve"> Vet</w:t>
      </w:r>
      <w:r w:rsidR="00E7326A">
        <w:rPr>
          <w:rFonts w:ascii="Arial" w:eastAsia="Times New Roman" w:hAnsi="Arial" w:cs="Arial"/>
          <w:lang w:eastAsia="de-DE"/>
        </w:rPr>
        <w:t xml:space="preserve">erinärmedizin, </w:t>
      </w:r>
      <w:r w:rsidRPr="00977865">
        <w:rPr>
          <w:rFonts w:ascii="Arial" w:eastAsia="Times New Roman" w:hAnsi="Arial" w:cs="Arial"/>
          <w:lang w:eastAsia="de-DE"/>
        </w:rPr>
        <w:t>StlK</w:t>
      </w:r>
      <w:r w:rsidR="00317E1E">
        <w:rPr>
          <w:rFonts w:ascii="Arial" w:eastAsia="Times New Roman" w:hAnsi="Arial" w:cs="Arial"/>
          <w:lang w:eastAsia="de-DE"/>
        </w:rPr>
        <w:t>o</w:t>
      </w:r>
      <w:r w:rsidRPr="00977865">
        <w:rPr>
          <w:rFonts w:ascii="Arial" w:eastAsia="Times New Roman" w:hAnsi="Arial" w:cs="Arial"/>
          <w:lang w:eastAsia="de-DE"/>
        </w:rPr>
        <w:t xml:space="preserve"> Vet) sollten Katzen in Deutschland grundsätzlich gegen Katzenseuche und Katzenschnupfen geimpft werden (Core-Komponenten). Zur Sicherheit der Katze und zur eigenen Sicherheit empfiehlt sich bei Freigängerkatzen auch eine Impfung gegen Tollwut. Die Erstimpfung nimmt der Tierarzt </w:t>
      </w:r>
      <w:r w:rsidR="00C60278">
        <w:rPr>
          <w:rFonts w:ascii="Arial" w:eastAsia="Times New Roman" w:hAnsi="Arial" w:cs="Arial"/>
          <w:lang w:eastAsia="de-DE"/>
        </w:rPr>
        <w:t>im Alter von 8</w:t>
      </w:r>
      <w:r w:rsidRPr="00977865">
        <w:rPr>
          <w:rFonts w:ascii="Arial" w:eastAsia="Times New Roman" w:hAnsi="Arial" w:cs="Arial"/>
          <w:lang w:eastAsia="de-DE"/>
        </w:rPr>
        <w:t xml:space="preserve"> Lebenswoche</w:t>
      </w:r>
      <w:r w:rsidR="00C60278">
        <w:rPr>
          <w:rFonts w:ascii="Arial" w:eastAsia="Times New Roman" w:hAnsi="Arial" w:cs="Arial"/>
          <w:lang w:eastAsia="de-DE"/>
        </w:rPr>
        <w:t>n</w:t>
      </w:r>
      <w:r w:rsidRPr="00977865">
        <w:rPr>
          <w:rFonts w:ascii="Arial" w:eastAsia="Times New Roman" w:hAnsi="Arial" w:cs="Arial"/>
          <w:lang w:eastAsia="de-DE"/>
        </w:rPr>
        <w:t xml:space="preserve"> vor. Danach sind drei weitere Impfungen </w:t>
      </w:r>
      <w:r w:rsidR="00C60278">
        <w:rPr>
          <w:rFonts w:ascii="Arial" w:eastAsia="Times New Roman" w:hAnsi="Arial" w:cs="Arial"/>
          <w:lang w:eastAsia="de-DE"/>
        </w:rPr>
        <w:t>im Alter von 12 und 16</w:t>
      </w:r>
      <w:r w:rsidRPr="00977865">
        <w:rPr>
          <w:rFonts w:ascii="Arial" w:eastAsia="Times New Roman" w:hAnsi="Arial" w:cs="Arial"/>
          <w:lang w:eastAsia="de-DE"/>
        </w:rPr>
        <w:t xml:space="preserve"> Lebenswoche</w:t>
      </w:r>
      <w:r w:rsidR="00C60278">
        <w:rPr>
          <w:rFonts w:ascii="Arial" w:eastAsia="Times New Roman" w:hAnsi="Arial" w:cs="Arial"/>
          <w:lang w:eastAsia="de-DE"/>
        </w:rPr>
        <w:t>n</w:t>
      </w:r>
      <w:r w:rsidRPr="00977865">
        <w:rPr>
          <w:rFonts w:ascii="Arial" w:eastAsia="Times New Roman" w:hAnsi="Arial" w:cs="Arial"/>
          <w:lang w:eastAsia="de-DE"/>
        </w:rPr>
        <w:t xml:space="preserve"> sowie im </w:t>
      </w:r>
      <w:r w:rsidR="00C60278">
        <w:rPr>
          <w:rFonts w:ascii="Arial" w:eastAsia="Times New Roman" w:hAnsi="Arial" w:cs="Arial"/>
          <w:lang w:eastAsia="de-DE"/>
        </w:rPr>
        <w:t>Alter von 15</w:t>
      </w:r>
      <w:r w:rsidRPr="00977865">
        <w:rPr>
          <w:rFonts w:ascii="Arial" w:eastAsia="Times New Roman" w:hAnsi="Arial" w:cs="Arial"/>
          <w:lang w:eastAsia="de-DE"/>
        </w:rPr>
        <w:t xml:space="preserve"> Lebensmonat</w:t>
      </w:r>
      <w:r w:rsidR="00C60278">
        <w:rPr>
          <w:rFonts w:ascii="Arial" w:eastAsia="Times New Roman" w:hAnsi="Arial" w:cs="Arial"/>
          <w:lang w:eastAsia="de-DE"/>
        </w:rPr>
        <w:t>en</w:t>
      </w:r>
      <w:r w:rsidRPr="00977865">
        <w:rPr>
          <w:rFonts w:ascii="Arial" w:eastAsia="Times New Roman" w:hAnsi="Arial" w:cs="Arial"/>
          <w:lang w:eastAsia="de-DE"/>
        </w:rPr>
        <w:t xml:space="preserve"> notwendig. </w:t>
      </w:r>
      <w:r w:rsidR="00AF223A">
        <w:rPr>
          <w:rFonts w:ascii="Arial" w:eastAsia="Times New Roman" w:hAnsi="Arial" w:cs="Arial"/>
          <w:lang w:eastAsia="de-DE"/>
        </w:rPr>
        <w:t>Erst dann</w:t>
      </w:r>
      <w:r w:rsidRPr="00977865">
        <w:rPr>
          <w:rFonts w:ascii="Arial" w:eastAsia="Times New Roman" w:hAnsi="Arial" w:cs="Arial"/>
          <w:lang w:eastAsia="de-DE"/>
        </w:rPr>
        <w:t xml:space="preserve"> ist die Grundimmunisierung abgeschlossen.</w:t>
      </w:r>
      <w:r w:rsidR="00AF223A">
        <w:rPr>
          <w:rFonts w:ascii="Arial" w:eastAsia="Times New Roman" w:hAnsi="Arial" w:cs="Arial"/>
          <w:lang w:eastAsia="de-DE"/>
        </w:rPr>
        <w:t xml:space="preserve"> </w:t>
      </w:r>
      <w:r w:rsidR="00B844EA" w:rsidRPr="00977865">
        <w:rPr>
          <w:rFonts w:ascii="Arial" w:hAnsi="Arial" w:cs="Arial"/>
        </w:rPr>
        <w:t>Neben den erläuterten Impfungen können abhängig vo</w:t>
      </w:r>
      <w:r w:rsidR="00E7326A">
        <w:rPr>
          <w:rFonts w:ascii="Arial" w:hAnsi="Arial" w:cs="Arial"/>
        </w:rPr>
        <w:t>n Lebensumständen und</w:t>
      </w:r>
      <w:r w:rsidR="00B844EA" w:rsidRPr="00977865">
        <w:rPr>
          <w:rFonts w:ascii="Arial" w:hAnsi="Arial" w:cs="Arial"/>
        </w:rPr>
        <w:t xml:space="preserve"> individuelle</w:t>
      </w:r>
      <w:r w:rsidR="00E7326A">
        <w:rPr>
          <w:rFonts w:ascii="Arial" w:hAnsi="Arial" w:cs="Arial"/>
        </w:rPr>
        <w:t>m</w:t>
      </w:r>
      <w:r w:rsidR="00B844EA" w:rsidRPr="00977865">
        <w:rPr>
          <w:rFonts w:ascii="Arial" w:hAnsi="Arial" w:cs="Arial"/>
        </w:rPr>
        <w:t xml:space="preserve"> Gefährdungsrisiko des Tieres weitere Impfungen sinnvoll sein, beispielsweise gegen </w:t>
      </w:r>
      <w:r w:rsidR="00AF223A" w:rsidRPr="00977865">
        <w:rPr>
          <w:rFonts w:ascii="Arial" w:eastAsia="Times New Roman" w:hAnsi="Arial" w:cs="Arial"/>
          <w:lang w:eastAsia="de-DE"/>
        </w:rPr>
        <w:t>Bordetella bronchiseptica, Chlamydien, Feli</w:t>
      </w:r>
      <w:r w:rsidR="00AF223A">
        <w:rPr>
          <w:rFonts w:ascii="Arial" w:eastAsia="Times New Roman" w:hAnsi="Arial" w:cs="Arial"/>
          <w:lang w:eastAsia="de-DE"/>
        </w:rPr>
        <w:t>ne Infekt</w:t>
      </w:r>
      <w:r w:rsidR="00326B29">
        <w:rPr>
          <w:rFonts w:ascii="Arial" w:eastAsia="Times New Roman" w:hAnsi="Arial" w:cs="Arial"/>
          <w:lang w:eastAsia="de-DE"/>
        </w:rPr>
        <w:t>i</w:t>
      </w:r>
      <w:r w:rsidR="00AF223A">
        <w:rPr>
          <w:rFonts w:ascii="Arial" w:eastAsia="Times New Roman" w:hAnsi="Arial" w:cs="Arial"/>
          <w:lang w:eastAsia="de-DE"/>
        </w:rPr>
        <w:t xml:space="preserve">öse Peritonitis (FIP), </w:t>
      </w:r>
      <w:r w:rsidR="00AF223A" w:rsidRPr="00977865">
        <w:rPr>
          <w:rFonts w:ascii="Arial" w:eastAsia="Times New Roman" w:hAnsi="Arial" w:cs="Arial"/>
          <w:lang w:eastAsia="de-DE"/>
        </w:rPr>
        <w:t xml:space="preserve">Leukose </w:t>
      </w:r>
      <w:r w:rsidR="00AF223A">
        <w:rPr>
          <w:rFonts w:ascii="Arial" w:eastAsia="Times New Roman" w:hAnsi="Arial" w:cs="Arial"/>
          <w:lang w:eastAsia="de-DE"/>
        </w:rPr>
        <w:t xml:space="preserve">oder Pilzerkrankungen </w:t>
      </w:r>
      <w:r w:rsidR="00AF223A" w:rsidRPr="00977865">
        <w:rPr>
          <w:rFonts w:ascii="Arial" w:eastAsia="Times New Roman" w:hAnsi="Arial" w:cs="Arial"/>
          <w:lang w:eastAsia="de-DE"/>
        </w:rPr>
        <w:t>(Non-Core-Komponenten)</w:t>
      </w:r>
      <w:r w:rsidR="00B844EA" w:rsidRPr="00977865">
        <w:rPr>
          <w:rFonts w:ascii="Arial" w:hAnsi="Arial" w:cs="Arial"/>
        </w:rPr>
        <w:t>.</w:t>
      </w:r>
    </w:p>
    <w:p w:rsidR="001F25C3" w:rsidRPr="001F25C3" w:rsidRDefault="001F25C3" w:rsidP="000062E1">
      <w:pPr>
        <w:spacing w:before="100" w:beforeAutospacing="1" w:after="0" w:line="360" w:lineRule="auto"/>
        <w:rPr>
          <w:rFonts w:ascii="Arial" w:hAnsi="Arial" w:cs="Arial"/>
          <w:b/>
        </w:rPr>
      </w:pPr>
      <w:r w:rsidRPr="001F25C3">
        <w:rPr>
          <w:rFonts w:ascii="Arial" w:hAnsi="Arial" w:cs="Arial"/>
          <w:b/>
        </w:rPr>
        <w:t>Wie müssen erwachsene Tiere geschützt werden?</w:t>
      </w:r>
    </w:p>
    <w:p w:rsidR="00326B29" w:rsidRDefault="001F25C3" w:rsidP="00326B29">
      <w:pPr>
        <w:spacing w:before="100" w:beforeAutospacing="1" w:after="0" w:line="360" w:lineRule="auto"/>
        <w:rPr>
          <w:rFonts w:ascii="Arial" w:eastAsia="Times New Roman" w:hAnsi="Arial" w:cs="Arial"/>
          <w:lang w:eastAsia="de-DE"/>
        </w:rPr>
      </w:pPr>
      <w:r w:rsidRPr="00977865">
        <w:rPr>
          <w:rFonts w:ascii="Arial" w:eastAsia="Times New Roman" w:hAnsi="Arial" w:cs="Arial"/>
          <w:lang w:eastAsia="de-DE"/>
        </w:rPr>
        <w:lastRenderedPageBreak/>
        <w:t xml:space="preserve">Wiederholungsimpfungen </w:t>
      </w:r>
      <w:r>
        <w:rPr>
          <w:rFonts w:ascii="Arial" w:eastAsia="Times New Roman" w:hAnsi="Arial" w:cs="Arial"/>
          <w:lang w:eastAsia="de-DE"/>
        </w:rPr>
        <w:t xml:space="preserve">sind alle Impfungen, die nach einer abgeschlossenen </w:t>
      </w:r>
      <w:r w:rsidRPr="007921BE">
        <w:rPr>
          <w:rFonts w:ascii="Arial" w:eastAsia="Times New Roman" w:hAnsi="Arial" w:cs="Arial"/>
          <w:lang w:eastAsia="de-DE"/>
        </w:rPr>
        <w:t xml:space="preserve">Grundimmunisierung erfolgen und sollen einen bereits bestehenden Impfschutz auffrischen. </w:t>
      </w:r>
      <w:r w:rsidR="004D74DF">
        <w:rPr>
          <w:rFonts w:ascii="Arial" w:eastAsia="Times New Roman" w:hAnsi="Arial" w:cs="Arial"/>
          <w:lang w:eastAsia="de-DE"/>
        </w:rPr>
        <w:t xml:space="preserve">Die vorgegebenen </w:t>
      </w:r>
      <w:r w:rsidR="009E6CB2" w:rsidRPr="007921BE">
        <w:rPr>
          <w:rFonts w:ascii="Arial" w:eastAsia="Times New Roman" w:hAnsi="Arial" w:cs="Arial"/>
          <w:lang w:eastAsia="de-DE"/>
        </w:rPr>
        <w:t xml:space="preserve">Impfintervalle sollten dabei </w:t>
      </w:r>
      <w:r w:rsidR="004D74DF">
        <w:rPr>
          <w:rFonts w:ascii="Arial" w:eastAsia="Times New Roman" w:hAnsi="Arial" w:cs="Arial"/>
          <w:lang w:eastAsia="de-DE"/>
        </w:rPr>
        <w:t xml:space="preserve">grundsätzlich </w:t>
      </w:r>
      <w:r w:rsidR="009E6CB2" w:rsidRPr="007921BE">
        <w:rPr>
          <w:rFonts w:ascii="Arial" w:eastAsia="Times New Roman" w:hAnsi="Arial" w:cs="Arial"/>
          <w:lang w:eastAsia="de-DE"/>
        </w:rPr>
        <w:t>eingehalten werden</w:t>
      </w:r>
      <w:r w:rsidR="004D74DF">
        <w:rPr>
          <w:rFonts w:ascii="Arial" w:eastAsia="Times New Roman" w:hAnsi="Arial" w:cs="Arial"/>
          <w:lang w:eastAsia="de-DE"/>
        </w:rPr>
        <w:t>, um den bestmöglichen Schutz zu gewährleisten</w:t>
      </w:r>
      <w:r w:rsidR="009E6CB2" w:rsidRPr="007921BE">
        <w:rPr>
          <w:rFonts w:ascii="Arial" w:eastAsia="Times New Roman" w:hAnsi="Arial" w:cs="Arial"/>
          <w:lang w:eastAsia="de-DE"/>
        </w:rPr>
        <w:t xml:space="preserve">. Die </w:t>
      </w:r>
      <w:r w:rsidR="007921BE" w:rsidRPr="007921BE">
        <w:rPr>
          <w:rFonts w:ascii="Arial" w:eastAsia="Times New Roman" w:hAnsi="Arial" w:cs="Arial"/>
          <w:lang w:eastAsia="de-DE"/>
        </w:rPr>
        <w:t>E</w:t>
      </w:r>
      <w:r w:rsidR="009E6CB2" w:rsidRPr="007921BE">
        <w:rPr>
          <w:rFonts w:ascii="Arial" w:eastAsia="Times New Roman" w:hAnsi="Arial" w:cs="Arial"/>
          <w:lang w:eastAsia="de-DE"/>
        </w:rPr>
        <w:t xml:space="preserve">mpfehlungen </w:t>
      </w:r>
      <w:r w:rsidRPr="007921BE">
        <w:rPr>
          <w:rFonts w:ascii="Arial" w:eastAsia="Times New Roman" w:hAnsi="Arial" w:cs="Arial"/>
          <w:lang w:eastAsia="de-DE"/>
        </w:rPr>
        <w:t xml:space="preserve">variieren hier je nach Erreger und Impfstoff. </w:t>
      </w:r>
      <w:r w:rsidR="00326B29">
        <w:rPr>
          <w:rFonts w:ascii="Arial" w:eastAsia="Times New Roman" w:hAnsi="Arial" w:cs="Arial"/>
          <w:lang w:eastAsia="de-DE"/>
        </w:rPr>
        <w:t xml:space="preserve">Auch die Lebensumstände des Tieres und der Infektionsdruck spielen eine Rolle. Hunde und Katzen mit vielen Sozialkontakten müssen umfassender geschützt werden als Tiere in Einzelhaltung. </w:t>
      </w:r>
    </w:p>
    <w:p w:rsidR="0037512C" w:rsidRDefault="0037512C" w:rsidP="00326B29">
      <w:pPr>
        <w:spacing w:before="100" w:beforeAutospacing="1" w:after="0" w:line="360" w:lineRule="auto"/>
        <w:rPr>
          <w:rFonts w:ascii="Arial" w:eastAsia="Times New Roman" w:hAnsi="Arial" w:cs="Arial"/>
          <w:lang w:eastAsia="de-DE"/>
        </w:rPr>
      </w:pPr>
      <w:r>
        <w:rPr>
          <w:rFonts w:ascii="Arial" w:eastAsia="Times New Roman" w:hAnsi="Arial" w:cs="Arial"/>
          <w:lang w:eastAsia="de-DE"/>
        </w:rPr>
        <w:t xml:space="preserve">Für einige </w:t>
      </w:r>
      <w:r w:rsidR="004D74DF">
        <w:rPr>
          <w:rFonts w:ascii="Arial" w:eastAsia="Times New Roman" w:hAnsi="Arial" w:cs="Arial"/>
          <w:lang w:eastAsia="de-DE"/>
        </w:rPr>
        <w:t xml:space="preserve">– vornehmlich </w:t>
      </w:r>
      <w:r>
        <w:rPr>
          <w:rFonts w:ascii="Arial" w:eastAsia="Times New Roman" w:hAnsi="Arial" w:cs="Arial"/>
          <w:lang w:eastAsia="de-DE"/>
        </w:rPr>
        <w:t>virusbedingte – Erkrankungen besteht die Möglichkeit, mit Hilfe einer serologischen Untersuchung den Erfolg einer Impfung zu kontrollieren oder auch den geeigneten Impfzeitpunkt für notwendige Wiederholungsimpfungen gegen diese Viren abzuschätzen. Hierzu werden in einer Blutprobe die Antikörperspiegel gegen die jeweiligen Erreger bestimmt</w:t>
      </w:r>
      <w:r w:rsidR="00667ED2">
        <w:rPr>
          <w:rFonts w:ascii="Arial" w:eastAsia="Times New Roman" w:hAnsi="Arial" w:cs="Arial"/>
          <w:lang w:eastAsia="de-DE"/>
        </w:rPr>
        <w:t xml:space="preserve">. </w:t>
      </w:r>
      <w:r w:rsidR="00C3286F">
        <w:rPr>
          <w:rFonts w:ascii="Arial" w:eastAsia="Times New Roman" w:hAnsi="Arial" w:cs="Arial"/>
          <w:lang w:eastAsia="de-DE"/>
        </w:rPr>
        <w:t>Dieses Verfahren</w:t>
      </w:r>
      <w:r w:rsidR="00D164B8">
        <w:rPr>
          <w:rFonts w:ascii="Arial" w:eastAsia="Times New Roman" w:hAnsi="Arial" w:cs="Arial"/>
          <w:lang w:eastAsia="de-DE"/>
        </w:rPr>
        <w:t xml:space="preserve"> </w:t>
      </w:r>
      <w:r w:rsidR="00C3286F">
        <w:rPr>
          <w:rFonts w:ascii="Arial" w:eastAsia="Times New Roman" w:hAnsi="Arial" w:cs="Arial"/>
          <w:lang w:eastAsia="de-DE"/>
        </w:rPr>
        <w:t>erfasst aber nur ein</w:t>
      </w:r>
      <w:r w:rsidR="00D164B8">
        <w:rPr>
          <w:rFonts w:ascii="Arial" w:eastAsia="Times New Roman" w:hAnsi="Arial" w:cs="Arial"/>
          <w:lang w:eastAsia="de-DE"/>
        </w:rPr>
        <w:t xml:space="preserve"> eingeschränktes Spektrum an Impfungen und ist beispielsweise </w:t>
      </w:r>
      <w:r w:rsidR="00C3286F">
        <w:rPr>
          <w:rFonts w:ascii="Arial" w:eastAsia="Times New Roman" w:hAnsi="Arial" w:cs="Arial"/>
          <w:lang w:eastAsia="de-DE"/>
        </w:rPr>
        <w:t>für Impfstoffe gegen Bakterien und Parasiten nicht geeignet</w:t>
      </w:r>
      <w:r w:rsidR="00D164B8">
        <w:rPr>
          <w:rFonts w:ascii="Arial" w:eastAsia="Times New Roman" w:hAnsi="Arial" w:cs="Arial"/>
          <w:lang w:eastAsia="de-DE"/>
        </w:rPr>
        <w:t>,</w:t>
      </w:r>
      <w:r w:rsidR="00C3286F">
        <w:rPr>
          <w:rFonts w:ascii="Arial" w:eastAsia="Times New Roman" w:hAnsi="Arial" w:cs="Arial"/>
          <w:lang w:eastAsia="de-DE"/>
        </w:rPr>
        <w:t xml:space="preserve"> so dass allgemein die </w:t>
      </w:r>
      <w:r w:rsidR="00D164B8">
        <w:rPr>
          <w:rFonts w:ascii="Arial" w:eastAsia="Times New Roman" w:hAnsi="Arial" w:cs="Arial"/>
          <w:lang w:eastAsia="de-DE"/>
        </w:rPr>
        <w:t>B</w:t>
      </w:r>
      <w:r w:rsidR="00C3286F">
        <w:rPr>
          <w:rFonts w:ascii="Arial" w:eastAsia="Times New Roman" w:hAnsi="Arial" w:cs="Arial"/>
          <w:lang w:eastAsia="de-DE"/>
        </w:rPr>
        <w:t>eibehaltung der bisherige</w:t>
      </w:r>
      <w:r w:rsidR="00D164B8">
        <w:rPr>
          <w:rFonts w:ascii="Arial" w:eastAsia="Times New Roman" w:hAnsi="Arial" w:cs="Arial"/>
          <w:lang w:eastAsia="de-DE"/>
        </w:rPr>
        <w:t>n</w:t>
      </w:r>
      <w:r w:rsidR="00C3286F">
        <w:rPr>
          <w:rFonts w:ascii="Arial" w:eastAsia="Times New Roman" w:hAnsi="Arial" w:cs="Arial"/>
          <w:lang w:eastAsia="de-DE"/>
        </w:rPr>
        <w:t>, bewährten Impfschemata empfohlen w</w:t>
      </w:r>
      <w:r w:rsidR="005A74ED">
        <w:rPr>
          <w:rFonts w:ascii="Arial" w:eastAsia="Times New Roman" w:hAnsi="Arial" w:cs="Arial"/>
          <w:lang w:eastAsia="de-DE"/>
        </w:rPr>
        <w:t>ird</w:t>
      </w:r>
      <w:r w:rsidR="00C3286F">
        <w:rPr>
          <w:rFonts w:ascii="Arial" w:eastAsia="Times New Roman" w:hAnsi="Arial" w:cs="Arial"/>
          <w:lang w:eastAsia="de-DE"/>
        </w:rPr>
        <w:t xml:space="preserve">. </w:t>
      </w:r>
    </w:p>
    <w:p w:rsidR="00284CB7" w:rsidRDefault="001F25C3" w:rsidP="001F25C3">
      <w:pPr>
        <w:spacing w:before="100" w:beforeAutospacing="1" w:after="0" w:line="360" w:lineRule="auto"/>
        <w:rPr>
          <w:rFonts w:ascii="Arial" w:eastAsia="Times New Roman" w:hAnsi="Arial" w:cs="Arial"/>
          <w:lang w:eastAsia="de-DE"/>
        </w:rPr>
      </w:pPr>
      <w:r w:rsidRPr="007921BE">
        <w:rPr>
          <w:rFonts w:ascii="Arial" w:eastAsia="Times New Roman" w:hAnsi="Arial" w:cs="Arial"/>
          <w:lang w:eastAsia="de-DE"/>
        </w:rPr>
        <w:t>Bei der Tollwutimpfung ist aufgrund der gesetzlichen Bestimmungen,</w:t>
      </w:r>
      <w:r w:rsidRPr="00977865">
        <w:rPr>
          <w:rFonts w:ascii="Arial" w:eastAsia="Times New Roman" w:hAnsi="Arial" w:cs="Arial"/>
          <w:lang w:eastAsia="de-DE"/>
        </w:rPr>
        <w:t xml:space="preserve"> beispielsweise bei Reisen mit dem Tier, unbedingt auf die Einhaltung vorgegebener Fristen </w:t>
      </w:r>
      <w:r w:rsidR="0037512C">
        <w:rPr>
          <w:rFonts w:ascii="Arial" w:eastAsia="Times New Roman" w:hAnsi="Arial" w:cs="Arial"/>
          <w:lang w:eastAsia="de-DE"/>
        </w:rPr>
        <w:t xml:space="preserve">für die Impfung </w:t>
      </w:r>
      <w:r w:rsidRPr="00977865">
        <w:rPr>
          <w:rFonts w:ascii="Arial" w:eastAsia="Times New Roman" w:hAnsi="Arial" w:cs="Arial"/>
          <w:lang w:eastAsia="de-DE"/>
        </w:rPr>
        <w:t>zu achten.</w:t>
      </w:r>
      <w:r w:rsidRPr="001F25C3">
        <w:rPr>
          <w:rFonts w:ascii="Arial" w:eastAsia="Times New Roman" w:hAnsi="Arial" w:cs="Arial"/>
          <w:lang w:eastAsia="de-DE"/>
        </w:rPr>
        <w:t xml:space="preserve"> </w:t>
      </w:r>
    </w:p>
    <w:p w:rsidR="000062E1" w:rsidRPr="00977865" w:rsidRDefault="000062E1"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b/>
          <w:bCs/>
          <w:lang w:eastAsia="de-DE"/>
        </w:rPr>
        <w:t>Auch deshalb ist das Impfen so wichtig</w:t>
      </w:r>
    </w:p>
    <w:p w:rsidR="000062E1" w:rsidRPr="00977865" w:rsidRDefault="00B844EA" w:rsidP="000062E1">
      <w:pPr>
        <w:spacing w:before="100" w:beforeAutospacing="1" w:after="0" w:line="360" w:lineRule="auto"/>
        <w:rPr>
          <w:rFonts w:ascii="Arial" w:eastAsia="Times New Roman" w:hAnsi="Arial" w:cs="Arial"/>
          <w:lang w:eastAsia="de-DE"/>
        </w:rPr>
      </w:pPr>
      <w:r w:rsidRPr="00977865">
        <w:rPr>
          <w:rFonts w:ascii="Arial" w:eastAsia="Times New Roman" w:hAnsi="Arial" w:cs="Arial"/>
          <w:lang w:eastAsia="de-DE"/>
        </w:rPr>
        <w:t xml:space="preserve">Aufgrund der guten Impfpraxis </w:t>
      </w:r>
      <w:r w:rsidR="00977865" w:rsidRPr="00977865">
        <w:rPr>
          <w:rFonts w:ascii="Arial" w:eastAsia="Times New Roman" w:hAnsi="Arial" w:cs="Arial"/>
          <w:lang w:eastAsia="de-DE"/>
        </w:rPr>
        <w:t>t</w:t>
      </w:r>
      <w:r w:rsidRPr="00977865">
        <w:rPr>
          <w:rFonts w:ascii="Arial" w:eastAsia="Times New Roman" w:hAnsi="Arial" w:cs="Arial"/>
          <w:lang w:eastAsia="de-DE"/>
        </w:rPr>
        <w:t xml:space="preserve">reten inzwischen viele Krankheiten nur noch selten oder gar nicht mehr in Deutschland auf. </w:t>
      </w:r>
      <w:r w:rsidR="00977865" w:rsidRPr="00977865">
        <w:rPr>
          <w:rFonts w:ascii="Arial" w:eastAsia="Times New Roman" w:hAnsi="Arial" w:cs="Arial"/>
          <w:lang w:eastAsia="de-DE"/>
        </w:rPr>
        <w:t>In einer gut durchgeim</w:t>
      </w:r>
      <w:r w:rsidRPr="00977865">
        <w:rPr>
          <w:rFonts w:ascii="Arial" w:eastAsia="Times New Roman" w:hAnsi="Arial" w:cs="Arial"/>
          <w:lang w:eastAsia="de-DE"/>
        </w:rPr>
        <w:t>pften Po</w:t>
      </w:r>
      <w:r w:rsidR="00977865" w:rsidRPr="00977865">
        <w:rPr>
          <w:rFonts w:ascii="Arial" w:eastAsia="Times New Roman" w:hAnsi="Arial" w:cs="Arial"/>
          <w:lang w:eastAsia="de-DE"/>
        </w:rPr>
        <w:t>p</w:t>
      </w:r>
      <w:r w:rsidRPr="00977865">
        <w:rPr>
          <w:rFonts w:ascii="Arial" w:eastAsia="Times New Roman" w:hAnsi="Arial" w:cs="Arial"/>
          <w:lang w:eastAsia="de-DE"/>
        </w:rPr>
        <w:t xml:space="preserve">ulation kann es </w:t>
      </w:r>
      <w:r w:rsidR="00977865" w:rsidRPr="00977865">
        <w:rPr>
          <w:rFonts w:ascii="Arial" w:eastAsia="Times New Roman" w:hAnsi="Arial" w:cs="Arial"/>
          <w:lang w:eastAsia="de-DE"/>
        </w:rPr>
        <w:t xml:space="preserve">also für ein einzelnes Tier durchaus möglich sein, gesund zu bleiben. Das ändert sich, wenn die Immunität der Population aufgrund einer einsetzenden „Impfmüdigkeit“ nachlässt. Wenn in zu großen Abständen oder gar nicht mehr geimpft wird, kann der Impfschutz sogar komplett zusammenbrechen. </w:t>
      </w:r>
      <w:r w:rsidR="000062E1" w:rsidRPr="00977865">
        <w:rPr>
          <w:rFonts w:ascii="Arial" w:eastAsia="Times New Roman" w:hAnsi="Arial" w:cs="Arial"/>
          <w:lang w:eastAsia="de-DE"/>
        </w:rPr>
        <w:t>In jeder Tierpopulation müssen mindesten</w:t>
      </w:r>
      <w:r w:rsidR="009E6CB2">
        <w:rPr>
          <w:rFonts w:ascii="Arial" w:eastAsia="Times New Roman" w:hAnsi="Arial" w:cs="Arial"/>
          <w:lang w:eastAsia="de-DE"/>
        </w:rPr>
        <w:t>s</w:t>
      </w:r>
      <w:r w:rsidR="000062E1" w:rsidRPr="00977865">
        <w:rPr>
          <w:rFonts w:ascii="Arial" w:eastAsia="Times New Roman" w:hAnsi="Arial" w:cs="Arial"/>
          <w:lang w:eastAsia="de-DE"/>
        </w:rPr>
        <w:t xml:space="preserve"> 70 Prozent der Tiere geimpft sein, damit sich Infektionskrankheiten nicht zu einer Epidemie ausweiten können. Jedoch verfügen nur die Hälfte aller deutschen Hunde und ein Drittel aller Katzen noch über einen ausreichenden Impfschutz. Eine gefährliche Entwicklung, denn wird nicht mehr geimpft, können sich Infektionserreger in der großen Zahl empfänglicher Tiere ungehindert verbreiten.</w:t>
      </w:r>
    </w:p>
    <w:p w:rsidR="009657B4" w:rsidRPr="00977865" w:rsidRDefault="00B844EA" w:rsidP="003E5648">
      <w:pPr>
        <w:spacing w:before="100" w:beforeAutospacing="1" w:after="0" w:line="360" w:lineRule="auto"/>
        <w:rPr>
          <w:rFonts w:ascii="Arial" w:hAnsi="Arial" w:cs="Arial"/>
        </w:rPr>
      </w:pPr>
      <w:r w:rsidRPr="00977865">
        <w:rPr>
          <w:rFonts w:ascii="Arial" w:eastAsia="Times New Roman" w:hAnsi="Arial" w:cs="Arial"/>
          <w:lang w:eastAsia="de-DE"/>
        </w:rPr>
        <w:t xml:space="preserve">Eine Erläuterung der impfwürdigen Krankheiten finden Sie hier: </w:t>
      </w:r>
    </w:p>
    <w:p w:rsidR="003E5648" w:rsidRDefault="003E5648" w:rsidP="003E5648">
      <w:pPr>
        <w:pStyle w:val="StandardWeb"/>
        <w:rPr>
          <w:rFonts w:ascii="Verdana" w:hAnsi="Verdana"/>
          <w:color w:val="000000"/>
          <w:sz w:val="18"/>
          <w:szCs w:val="18"/>
        </w:rPr>
      </w:pPr>
      <w:hyperlink r:id="rId8" w:history="1">
        <w:r>
          <w:rPr>
            <w:rStyle w:val="Hyperlink"/>
            <w:rFonts w:ascii="Verdana" w:hAnsi="Verdana"/>
            <w:sz w:val="18"/>
            <w:szCs w:val="18"/>
          </w:rPr>
          <w:t>http://www.kleintiergesundheit.info/welttag-der-tierimpfung/krankheiten-beim-hund/</w:t>
        </w:r>
      </w:hyperlink>
    </w:p>
    <w:p w:rsidR="003E5648" w:rsidRDefault="003E5648" w:rsidP="003E5648">
      <w:pPr>
        <w:pStyle w:val="StandardWeb"/>
        <w:rPr>
          <w:rFonts w:ascii="Verdana" w:hAnsi="Verdana"/>
          <w:color w:val="000000"/>
          <w:sz w:val="18"/>
          <w:szCs w:val="18"/>
        </w:rPr>
      </w:pPr>
      <w:hyperlink r:id="rId9" w:history="1">
        <w:r>
          <w:rPr>
            <w:rStyle w:val="Hyperlink"/>
            <w:rFonts w:ascii="Verdana" w:hAnsi="Verdana"/>
            <w:sz w:val="18"/>
            <w:szCs w:val="18"/>
          </w:rPr>
          <w:t>http://www.kleintiergesundheit.info/welttag-der-tierimpfung/krankheiten-bei-der-katze/</w:t>
        </w:r>
      </w:hyperlink>
    </w:p>
    <w:p w:rsidR="003E5648" w:rsidRDefault="003E5648" w:rsidP="003E5648">
      <w:pPr>
        <w:pStyle w:val="StandardWeb"/>
        <w:rPr>
          <w:rFonts w:ascii="Verdana" w:hAnsi="Verdana"/>
          <w:color w:val="000000"/>
          <w:sz w:val="18"/>
          <w:szCs w:val="18"/>
        </w:rPr>
      </w:pPr>
      <w:r>
        <w:rPr>
          <w:rFonts w:ascii="Verdana" w:hAnsi="Verdana"/>
          <w:color w:val="000000"/>
          <w:sz w:val="18"/>
          <w:szCs w:val="18"/>
        </w:rPr>
        <w:lastRenderedPageBreak/>
        <w:t> </w:t>
      </w:r>
    </w:p>
    <w:p w:rsidR="007E45C1" w:rsidRPr="006028F4" w:rsidRDefault="007E45C1" w:rsidP="007E45C1">
      <w:pPr>
        <w:spacing w:after="0" w:line="360" w:lineRule="auto"/>
        <w:rPr>
          <w:rFonts w:ascii="Arial" w:hAnsi="Arial" w:cs="Arial"/>
        </w:rPr>
      </w:pPr>
      <w:r w:rsidRPr="006028F4">
        <w:rPr>
          <w:rFonts w:ascii="Arial" w:hAnsi="Arial" w:cs="Arial"/>
        </w:rPr>
        <w:t>Abdruck Text und Foto (nur in Verbindung mit dieser Meldung) honorarfrei bei Quellenangabe.</w:t>
      </w:r>
    </w:p>
    <w:p w:rsidR="007E45C1" w:rsidRDefault="007E45C1" w:rsidP="007E45C1">
      <w:pPr>
        <w:spacing w:after="0" w:line="360" w:lineRule="auto"/>
        <w:rPr>
          <w:rFonts w:ascii="Arial" w:hAnsi="Arial" w:cs="Arial"/>
        </w:rPr>
      </w:pPr>
    </w:p>
    <w:p w:rsidR="007E45C1" w:rsidRPr="006028F4" w:rsidRDefault="007E45C1" w:rsidP="007E45C1">
      <w:pPr>
        <w:spacing w:after="0" w:line="360" w:lineRule="auto"/>
        <w:rPr>
          <w:rFonts w:ascii="Arial" w:hAnsi="Arial" w:cs="Arial"/>
        </w:rPr>
      </w:pPr>
      <w:r w:rsidRPr="006028F4">
        <w:rPr>
          <w:rFonts w:ascii="Arial" w:hAnsi="Arial" w:cs="Arial"/>
        </w:rPr>
        <w:t>Weitere Informationen: Bundesverband für Tiergesundheit e.V.</w:t>
      </w:r>
    </w:p>
    <w:p w:rsidR="007E45C1" w:rsidRPr="006028F4" w:rsidRDefault="007E45C1" w:rsidP="007E45C1">
      <w:pPr>
        <w:spacing w:after="0" w:line="360" w:lineRule="auto"/>
        <w:rPr>
          <w:rFonts w:ascii="Arial" w:hAnsi="Arial" w:cs="Arial"/>
        </w:rPr>
      </w:pPr>
      <w:r w:rsidRPr="006028F4">
        <w:rPr>
          <w:rFonts w:ascii="Arial" w:hAnsi="Arial" w:cs="Arial"/>
        </w:rPr>
        <w:t>Dr. Sabine Schüller, Schwertberger Str. 14, 53177 Bonn,</w:t>
      </w:r>
    </w:p>
    <w:p w:rsidR="007E45C1" w:rsidRPr="006028F4" w:rsidRDefault="007E45C1" w:rsidP="007E45C1">
      <w:pPr>
        <w:spacing w:after="0" w:line="360" w:lineRule="auto"/>
        <w:rPr>
          <w:rFonts w:ascii="Arial" w:hAnsi="Arial" w:cs="Arial"/>
        </w:rPr>
      </w:pPr>
      <w:r w:rsidRPr="006028F4">
        <w:rPr>
          <w:rFonts w:ascii="Arial" w:hAnsi="Arial" w:cs="Arial"/>
        </w:rPr>
        <w:t xml:space="preserve">Tel. 0228 / 31 82 96, E-Mail bft@bft-online.de, </w:t>
      </w:r>
      <w:hyperlink r:id="rId10" w:tgtFrame="_blank" w:history="1">
        <w:r w:rsidRPr="006028F4">
          <w:rPr>
            <w:rFonts w:ascii="Arial" w:hAnsi="Arial" w:cs="Arial"/>
          </w:rPr>
          <w:t>www.bft-online.de</w:t>
        </w:r>
      </w:hyperlink>
      <w:r w:rsidRPr="006028F4">
        <w:rPr>
          <w:rFonts w:ascii="Arial" w:hAnsi="Arial" w:cs="Arial"/>
        </w:rPr>
        <w:t xml:space="preserve"> </w:t>
      </w:r>
    </w:p>
    <w:p w:rsidR="007E45C1" w:rsidRPr="006028F4" w:rsidRDefault="007E45C1" w:rsidP="007E45C1">
      <w:pPr>
        <w:spacing w:after="0" w:line="360" w:lineRule="auto"/>
        <w:rPr>
          <w:rFonts w:ascii="Arial" w:hAnsi="Arial" w:cs="Arial"/>
        </w:rPr>
      </w:pPr>
      <w:r w:rsidRPr="006028F4">
        <w:rPr>
          <w:rFonts w:ascii="Arial" w:hAnsi="Arial" w:cs="Arial"/>
        </w:rPr>
        <w:t> </w:t>
      </w:r>
    </w:p>
    <w:p w:rsidR="007E45C1" w:rsidRPr="005437D1" w:rsidRDefault="007E45C1" w:rsidP="007E45C1">
      <w:pPr>
        <w:spacing w:after="0" w:line="360" w:lineRule="auto"/>
        <w:rPr>
          <w:rFonts w:ascii="Arial" w:hAnsi="Arial" w:cs="Arial"/>
        </w:rPr>
      </w:pPr>
      <w:bookmarkStart w:id="0" w:name="_GoBack"/>
      <w:bookmarkEnd w:id="0"/>
      <w:r>
        <w:rPr>
          <w:rFonts w:ascii="Arial" w:hAnsi="Arial" w:cs="Arial"/>
        </w:rPr>
        <w:t>Stand 28.03.2018</w:t>
      </w:r>
    </w:p>
    <w:sectPr w:rsidR="007E45C1" w:rsidRPr="005437D1" w:rsidSect="00DF672C">
      <w:headerReference w:type="default" r:id="rId11"/>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2C" w:rsidRDefault="00DF672C" w:rsidP="00DF672C">
      <w:pPr>
        <w:spacing w:after="0" w:line="240" w:lineRule="auto"/>
      </w:pPr>
      <w:r>
        <w:separator/>
      </w:r>
    </w:p>
  </w:endnote>
  <w:endnote w:type="continuationSeparator" w:id="0">
    <w:p w:rsidR="00DF672C" w:rsidRDefault="00DF672C" w:rsidP="00DF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2C" w:rsidRDefault="00DF672C" w:rsidP="00DF672C">
      <w:pPr>
        <w:spacing w:after="0" w:line="240" w:lineRule="auto"/>
      </w:pPr>
      <w:r>
        <w:separator/>
      </w:r>
    </w:p>
  </w:footnote>
  <w:footnote w:type="continuationSeparator" w:id="0">
    <w:p w:rsidR="00DF672C" w:rsidRDefault="00DF672C" w:rsidP="00DF6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2C" w:rsidRDefault="00DF672C" w:rsidP="00DF672C">
    <w:pPr>
      <w:pStyle w:val="Kopfzeile"/>
      <w:tabs>
        <w:tab w:val="clear" w:pos="9072"/>
        <w:tab w:val="right" w:pos="10490"/>
      </w:tabs>
      <w:ind w:right="-1417"/>
      <w:jc w:val="right"/>
    </w:pPr>
    <w:r>
      <w:rPr>
        <w:noProof/>
        <w:lang w:eastAsia="de-DE"/>
      </w:rPr>
      <w:drawing>
        <wp:inline distT="0" distB="0" distL="0" distR="0" wp14:anchorId="248B28ED" wp14:editId="09ADC7F8">
          <wp:extent cx="1133475" cy="828675"/>
          <wp:effectExtent l="0" t="0" r="9525" b="9525"/>
          <wp:docPr id="2" name="Grafik 2"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00043"/>
    <w:multiLevelType w:val="hybridMultilevel"/>
    <w:tmpl w:val="456E046A"/>
    <w:lvl w:ilvl="0" w:tplc="393AB07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E1"/>
    <w:rsid w:val="000062E1"/>
    <w:rsid w:val="00066CBE"/>
    <w:rsid w:val="000B1E59"/>
    <w:rsid w:val="0017773D"/>
    <w:rsid w:val="0018383E"/>
    <w:rsid w:val="00196490"/>
    <w:rsid w:val="001B76FA"/>
    <w:rsid w:val="001F25C3"/>
    <w:rsid w:val="00284CB7"/>
    <w:rsid w:val="002A2349"/>
    <w:rsid w:val="002B3582"/>
    <w:rsid w:val="00317E1E"/>
    <w:rsid w:val="00326B29"/>
    <w:rsid w:val="0037512C"/>
    <w:rsid w:val="003A62EA"/>
    <w:rsid w:val="003E5648"/>
    <w:rsid w:val="004D74DF"/>
    <w:rsid w:val="00575FC7"/>
    <w:rsid w:val="005A74ED"/>
    <w:rsid w:val="00667ED2"/>
    <w:rsid w:val="007921BE"/>
    <w:rsid w:val="007E45C1"/>
    <w:rsid w:val="0088375F"/>
    <w:rsid w:val="00884863"/>
    <w:rsid w:val="008B3659"/>
    <w:rsid w:val="008F27F9"/>
    <w:rsid w:val="009657B4"/>
    <w:rsid w:val="00977865"/>
    <w:rsid w:val="009A0079"/>
    <w:rsid w:val="009E6CB2"/>
    <w:rsid w:val="00A6768F"/>
    <w:rsid w:val="00A83D81"/>
    <w:rsid w:val="00AF223A"/>
    <w:rsid w:val="00B11CC5"/>
    <w:rsid w:val="00B844EA"/>
    <w:rsid w:val="00C06760"/>
    <w:rsid w:val="00C3286F"/>
    <w:rsid w:val="00C60278"/>
    <w:rsid w:val="00C91185"/>
    <w:rsid w:val="00CA5FCE"/>
    <w:rsid w:val="00D043B6"/>
    <w:rsid w:val="00D077EA"/>
    <w:rsid w:val="00D164B8"/>
    <w:rsid w:val="00D30C51"/>
    <w:rsid w:val="00DC0017"/>
    <w:rsid w:val="00DF672C"/>
    <w:rsid w:val="00E24235"/>
    <w:rsid w:val="00E7326A"/>
    <w:rsid w:val="00F23EC1"/>
    <w:rsid w:val="00F33B76"/>
    <w:rsid w:val="00F52FC4"/>
    <w:rsid w:val="00FA1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2EA"/>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9657B4"/>
    <w:rPr>
      <w:color w:val="0563C1" w:themeColor="hyperlink"/>
      <w:u w:val="single"/>
    </w:rPr>
  </w:style>
  <w:style w:type="character" w:styleId="Kommentarzeichen">
    <w:name w:val="annotation reference"/>
    <w:basedOn w:val="Absatz-Standardschriftart"/>
    <w:uiPriority w:val="99"/>
    <w:semiHidden/>
    <w:unhideWhenUsed/>
    <w:rsid w:val="00AF223A"/>
    <w:rPr>
      <w:sz w:val="16"/>
      <w:szCs w:val="16"/>
    </w:rPr>
  </w:style>
  <w:style w:type="paragraph" w:styleId="Kommentartext">
    <w:name w:val="annotation text"/>
    <w:basedOn w:val="Standard"/>
    <w:link w:val="KommentartextZchn"/>
    <w:uiPriority w:val="99"/>
    <w:semiHidden/>
    <w:unhideWhenUsed/>
    <w:rsid w:val="00AF22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223A"/>
    <w:rPr>
      <w:sz w:val="20"/>
      <w:szCs w:val="20"/>
    </w:rPr>
  </w:style>
  <w:style w:type="paragraph" w:styleId="Kommentarthema">
    <w:name w:val="annotation subject"/>
    <w:basedOn w:val="Kommentartext"/>
    <w:next w:val="Kommentartext"/>
    <w:link w:val="KommentarthemaZchn"/>
    <w:uiPriority w:val="99"/>
    <w:semiHidden/>
    <w:unhideWhenUsed/>
    <w:rsid w:val="00AF223A"/>
    <w:rPr>
      <w:b/>
      <w:bCs/>
    </w:rPr>
  </w:style>
  <w:style w:type="character" w:customStyle="1" w:styleId="KommentarthemaZchn">
    <w:name w:val="Kommentarthema Zchn"/>
    <w:basedOn w:val="KommentartextZchn"/>
    <w:link w:val="Kommentarthema"/>
    <w:uiPriority w:val="99"/>
    <w:semiHidden/>
    <w:rsid w:val="00AF223A"/>
    <w:rPr>
      <w:b/>
      <w:bCs/>
      <w:sz w:val="20"/>
      <w:szCs w:val="20"/>
    </w:rPr>
  </w:style>
  <w:style w:type="paragraph" w:styleId="Sprechblasentext">
    <w:name w:val="Balloon Text"/>
    <w:basedOn w:val="Standard"/>
    <w:link w:val="SprechblasentextZchn"/>
    <w:uiPriority w:val="99"/>
    <w:semiHidden/>
    <w:unhideWhenUsed/>
    <w:rsid w:val="00AF22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23A"/>
    <w:rPr>
      <w:rFonts w:ascii="Tahoma" w:hAnsi="Tahoma" w:cs="Tahoma"/>
      <w:sz w:val="16"/>
      <w:szCs w:val="16"/>
    </w:rPr>
  </w:style>
  <w:style w:type="paragraph" w:styleId="berarbeitung">
    <w:name w:val="Revision"/>
    <w:hidden/>
    <w:uiPriority w:val="99"/>
    <w:semiHidden/>
    <w:rsid w:val="009A0079"/>
    <w:pPr>
      <w:spacing w:after="0" w:line="240" w:lineRule="auto"/>
    </w:pPr>
  </w:style>
  <w:style w:type="paragraph" w:styleId="Kopfzeile">
    <w:name w:val="header"/>
    <w:basedOn w:val="Standard"/>
    <w:link w:val="KopfzeileZchn"/>
    <w:uiPriority w:val="99"/>
    <w:unhideWhenUsed/>
    <w:rsid w:val="00DF67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72C"/>
  </w:style>
  <w:style w:type="paragraph" w:styleId="Fuzeile">
    <w:name w:val="footer"/>
    <w:basedOn w:val="Standard"/>
    <w:link w:val="FuzeileZchn"/>
    <w:uiPriority w:val="99"/>
    <w:unhideWhenUsed/>
    <w:rsid w:val="00DF67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72C"/>
  </w:style>
  <w:style w:type="paragraph" w:styleId="StandardWeb">
    <w:name w:val="Normal (Web)"/>
    <w:basedOn w:val="Standard"/>
    <w:uiPriority w:val="99"/>
    <w:semiHidden/>
    <w:unhideWhenUsed/>
    <w:rsid w:val="003E564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2EA"/>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9657B4"/>
    <w:rPr>
      <w:color w:val="0563C1" w:themeColor="hyperlink"/>
      <w:u w:val="single"/>
    </w:rPr>
  </w:style>
  <w:style w:type="character" w:styleId="Kommentarzeichen">
    <w:name w:val="annotation reference"/>
    <w:basedOn w:val="Absatz-Standardschriftart"/>
    <w:uiPriority w:val="99"/>
    <w:semiHidden/>
    <w:unhideWhenUsed/>
    <w:rsid w:val="00AF223A"/>
    <w:rPr>
      <w:sz w:val="16"/>
      <w:szCs w:val="16"/>
    </w:rPr>
  </w:style>
  <w:style w:type="paragraph" w:styleId="Kommentartext">
    <w:name w:val="annotation text"/>
    <w:basedOn w:val="Standard"/>
    <w:link w:val="KommentartextZchn"/>
    <w:uiPriority w:val="99"/>
    <w:semiHidden/>
    <w:unhideWhenUsed/>
    <w:rsid w:val="00AF22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223A"/>
    <w:rPr>
      <w:sz w:val="20"/>
      <w:szCs w:val="20"/>
    </w:rPr>
  </w:style>
  <w:style w:type="paragraph" w:styleId="Kommentarthema">
    <w:name w:val="annotation subject"/>
    <w:basedOn w:val="Kommentartext"/>
    <w:next w:val="Kommentartext"/>
    <w:link w:val="KommentarthemaZchn"/>
    <w:uiPriority w:val="99"/>
    <w:semiHidden/>
    <w:unhideWhenUsed/>
    <w:rsid w:val="00AF223A"/>
    <w:rPr>
      <w:b/>
      <w:bCs/>
    </w:rPr>
  </w:style>
  <w:style w:type="character" w:customStyle="1" w:styleId="KommentarthemaZchn">
    <w:name w:val="Kommentarthema Zchn"/>
    <w:basedOn w:val="KommentartextZchn"/>
    <w:link w:val="Kommentarthema"/>
    <w:uiPriority w:val="99"/>
    <w:semiHidden/>
    <w:rsid w:val="00AF223A"/>
    <w:rPr>
      <w:b/>
      <w:bCs/>
      <w:sz w:val="20"/>
      <w:szCs w:val="20"/>
    </w:rPr>
  </w:style>
  <w:style w:type="paragraph" w:styleId="Sprechblasentext">
    <w:name w:val="Balloon Text"/>
    <w:basedOn w:val="Standard"/>
    <w:link w:val="SprechblasentextZchn"/>
    <w:uiPriority w:val="99"/>
    <w:semiHidden/>
    <w:unhideWhenUsed/>
    <w:rsid w:val="00AF22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23A"/>
    <w:rPr>
      <w:rFonts w:ascii="Tahoma" w:hAnsi="Tahoma" w:cs="Tahoma"/>
      <w:sz w:val="16"/>
      <w:szCs w:val="16"/>
    </w:rPr>
  </w:style>
  <w:style w:type="paragraph" w:styleId="berarbeitung">
    <w:name w:val="Revision"/>
    <w:hidden/>
    <w:uiPriority w:val="99"/>
    <w:semiHidden/>
    <w:rsid w:val="009A0079"/>
    <w:pPr>
      <w:spacing w:after="0" w:line="240" w:lineRule="auto"/>
    </w:pPr>
  </w:style>
  <w:style w:type="paragraph" w:styleId="Kopfzeile">
    <w:name w:val="header"/>
    <w:basedOn w:val="Standard"/>
    <w:link w:val="KopfzeileZchn"/>
    <w:uiPriority w:val="99"/>
    <w:unhideWhenUsed/>
    <w:rsid w:val="00DF67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72C"/>
  </w:style>
  <w:style w:type="paragraph" w:styleId="Fuzeile">
    <w:name w:val="footer"/>
    <w:basedOn w:val="Standard"/>
    <w:link w:val="FuzeileZchn"/>
    <w:uiPriority w:val="99"/>
    <w:unhideWhenUsed/>
    <w:rsid w:val="00DF67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72C"/>
  </w:style>
  <w:style w:type="paragraph" w:styleId="StandardWeb">
    <w:name w:val="Normal (Web)"/>
    <w:basedOn w:val="Standard"/>
    <w:uiPriority w:val="99"/>
    <w:semiHidden/>
    <w:unhideWhenUsed/>
    <w:rsid w:val="003E564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14452">
      <w:bodyDiv w:val="1"/>
      <w:marLeft w:val="0"/>
      <w:marRight w:val="0"/>
      <w:marTop w:val="0"/>
      <w:marBottom w:val="0"/>
      <w:divBdr>
        <w:top w:val="none" w:sz="0" w:space="0" w:color="auto"/>
        <w:left w:val="none" w:sz="0" w:space="0" w:color="auto"/>
        <w:bottom w:val="none" w:sz="0" w:space="0" w:color="auto"/>
        <w:right w:val="none" w:sz="0" w:space="0" w:color="auto"/>
      </w:divBdr>
    </w:div>
    <w:div w:id="2022705620">
      <w:bodyDiv w:val="1"/>
      <w:marLeft w:val="0"/>
      <w:marRight w:val="0"/>
      <w:marTop w:val="0"/>
      <w:marBottom w:val="0"/>
      <w:divBdr>
        <w:top w:val="none" w:sz="0" w:space="0" w:color="auto"/>
        <w:left w:val="none" w:sz="0" w:space="0" w:color="auto"/>
        <w:bottom w:val="none" w:sz="0" w:space="0" w:color="auto"/>
        <w:right w:val="none" w:sz="0" w:space="0" w:color="auto"/>
      </w:divBdr>
    </w:div>
    <w:div w:id="20896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intiergesundheit.info/welttag-der-tierimpfung/krankheiten-beim-hun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ft-online.de" TargetMode="External"/><Relationship Id="rId4" Type="http://schemas.openxmlformats.org/officeDocument/2006/relationships/settings" Target="settings.xml"/><Relationship Id="rId9" Type="http://schemas.openxmlformats.org/officeDocument/2006/relationships/hyperlink" Target="http://www.kleintiergesundheit.info/welttag-der-tierimpfung/krankheiten-bei-der-kat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6793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Merck</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9</cp:revision>
  <dcterms:created xsi:type="dcterms:W3CDTF">2018-03-20T19:13:00Z</dcterms:created>
  <dcterms:modified xsi:type="dcterms:W3CDTF">2018-03-28T09:44:00Z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1315592290</vt:i4>
  </property>
  <property fmtid="{D5CDD505-2E9C-101B-9397-08002B2CF9AE}" pid="3" name="_NewReviewCycle">
    <vt:lpwstr/>
  </property>
  <property fmtid="{D5CDD505-2E9C-101B-9397-08002B2CF9AE}" pid="4" name="_EmailSubject">
    <vt:lpwstr>Kleintiermeldung März "Impfung" </vt:lpwstr>
  </property>
  <property fmtid="{D5CDD505-2E9C-101B-9397-08002B2CF9AE}" pid="5" name="_AuthorEmail">
    <vt:lpwstr>frederik.mager@msd.de</vt:lpwstr>
  </property>
  <property fmtid="{D5CDD505-2E9C-101B-9397-08002B2CF9AE}" pid="6" name="_AuthorEmailDisplayName">
    <vt:lpwstr>Mager, Frederik</vt:lpwstr>
  </property>
  <property fmtid="{D5CDD505-2E9C-101B-9397-08002B2CF9AE}" pid="7" name="_ReviewingToolsShownOnce">
    <vt:lpwstr/>
  </property>
</Properties>
</file>