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C17" w:rsidRPr="00951C17" w:rsidRDefault="00951C17" w:rsidP="00951C17">
      <w:pPr>
        <w:spacing w:after="200" w:line="276" w:lineRule="auto"/>
        <w:jc w:val="both"/>
        <w:rPr>
          <w:rFonts w:ascii="Arial" w:eastAsia="Calibri" w:hAnsi="Arial" w:cs="Arial"/>
          <w:sz w:val="22"/>
          <w:szCs w:val="22"/>
          <w:lang w:eastAsia="en-US"/>
        </w:rPr>
      </w:pPr>
      <w:r w:rsidRPr="00951C17">
        <w:rPr>
          <w:rFonts w:ascii="Arial" w:eastAsia="Calibri" w:hAnsi="Arial" w:cs="Arial"/>
          <w:sz w:val="22"/>
          <w:szCs w:val="22"/>
          <w:lang w:eastAsia="en-US"/>
        </w:rPr>
        <w:t xml:space="preserve">Pressemeldung </w:t>
      </w:r>
    </w:p>
    <w:p w:rsidR="00951C17" w:rsidRPr="00951C17" w:rsidRDefault="00951C17" w:rsidP="00951C17">
      <w:pPr>
        <w:spacing w:after="200"/>
        <w:jc w:val="both"/>
        <w:rPr>
          <w:rFonts w:ascii="Arial" w:eastAsia="Calibri" w:hAnsi="Arial" w:cs="Arial"/>
          <w:b/>
          <w:szCs w:val="22"/>
          <w:lang w:eastAsia="en-US"/>
        </w:rPr>
      </w:pPr>
      <w:r w:rsidRPr="00951C17">
        <w:rPr>
          <w:rFonts w:ascii="Arial" w:eastAsia="Calibri" w:hAnsi="Arial" w:cs="Arial"/>
          <w:b/>
          <w:szCs w:val="22"/>
          <w:lang w:eastAsia="en-US"/>
        </w:rPr>
        <w:t>Ja zum Haustier und zur medizinischen Behandlung</w:t>
      </w:r>
    </w:p>
    <w:p w:rsidR="00951C17" w:rsidRPr="00951C17" w:rsidRDefault="009D4D6C" w:rsidP="00951C17">
      <w:pPr>
        <w:spacing w:after="200"/>
        <w:jc w:val="both"/>
        <w:rPr>
          <w:rFonts w:ascii="Arial" w:eastAsia="Calibri" w:hAnsi="Arial" w:cs="Arial"/>
          <w:sz w:val="22"/>
          <w:szCs w:val="20"/>
          <w:lang w:eastAsia="en-US"/>
        </w:rPr>
      </w:pPr>
      <w:r>
        <w:rPr>
          <w:rFonts w:ascii="Arial" w:eastAsia="Calibri" w:hAnsi="Arial" w:cs="Arial"/>
          <w:b/>
          <w:i/>
          <w:sz w:val="22"/>
          <w:szCs w:val="20"/>
          <w:lang w:eastAsia="en-US"/>
        </w:rPr>
        <w:t>Bonn, 10</w:t>
      </w:r>
      <w:bookmarkStart w:id="0" w:name="_GoBack"/>
      <w:bookmarkEnd w:id="0"/>
      <w:r w:rsidR="00951C17" w:rsidRPr="00951C17">
        <w:rPr>
          <w:rFonts w:ascii="Arial" w:eastAsia="Calibri" w:hAnsi="Arial" w:cs="Arial"/>
          <w:b/>
          <w:i/>
          <w:sz w:val="22"/>
          <w:szCs w:val="20"/>
          <w:lang w:eastAsia="en-US"/>
        </w:rPr>
        <w:t>.07.2017 -</w:t>
      </w:r>
      <w:r w:rsidR="00951C17" w:rsidRPr="00951C17">
        <w:rPr>
          <w:rFonts w:ascii="Arial" w:eastAsia="Calibri" w:hAnsi="Arial" w:cs="Arial"/>
          <w:sz w:val="22"/>
          <w:szCs w:val="20"/>
          <w:lang w:eastAsia="en-US"/>
        </w:rPr>
        <w:t xml:space="preserve"> Der europäische Verband für Tiergesundheit (IFAH-Europe) hat im Jahr 2016 in sechs EU-Staaten Bürger zu ihrem Wissen und ihrer Meinung über Tiergesundheit und die Anwendung von Tierarzneimitteln befragt. Die Auswertung der Studie mit Blick auf Kleintiere liegt nun vor.</w:t>
      </w:r>
    </w:p>
    <w:p w:rsidR="00951C17" w:rsidRPr="00951C17" w:rsidRDefault="00951C17" w:rsidP="00951C17">
      <w:pPr>
        <w:spacing w:after="200" w:line="276" w:lineRule="auto"/>
        <w:jc w:val="both"/>
        <w:rPr>
          <w:rFonts w:ascii="Arial" w:eastAsia="Calibri" w:hAnsi="Arial" w:cs="Arial"/>
          <w:sz w:val="22"/>
          <w:szCs w:val="20"/>
          <w:lang w:eastAsia="en-US"/>
        </w:rPr>
      </w:pPr>
      <w:r w:rsidRPr="00951C17">
        <w:rPr>
          <w:rFonts w:ascii="Arial" w:eastAsia="Calibri" w:hAnsi="Arial" w:cs="Arial"/>
          <w:sz w:val="22"/>
          <w:szCs w:val="20"/>
          <w:lang w:eastAsia="en-US"/>
        </w:rPr>
        <w:t>Für Deutschland ergab sich folgendes Bild: Die Befragten haben eine positive Haltung zur Behandlung von Kleintieren. Jedoch zeigte sich, dass zum Teil wenig bekannt ist, wie Tierarzneimittel zugelassen und kontrolliert werden.</w:t>
      </w:r>
    </w:p>
    <w:p w:rsidR="00951C17" w:rsidRPr="00951C17" w:rsidRDefault="00951C17" w:rsidP="00951C17">
      <w:pPr>
        <w:spacing w:after="200" w:line="276" w:lineRule="auto"/>
        <w:jc w:val="both"/>
        <w:rPr>
          <w:rFonts w:ascii="Arial" w:eastAsia="Calibri" w:hAnsi="Arial" w:cs="Arial"/>
          <w:sz w:val="22"/>
          <w:szCs w:val="20"/>
          <w:lang w:eastAsia="en-US"/>
        </w:rPr>
      </w:pPr>
      <w:r w:rsidRPr="00951C17">
        <w:rPr>
          <w:rFonts w:ascii="Arial" w:eastAsia="Calibri" w:hAnsi="Arial" w:cs="Arial"/>
          <w:sz w:val="22"/>
          <w:szCs w:val="20"/>
          <w:lang w:eastAsia="en-US"/>
        </w:rPr>
        <w:t xml:space="preserve">Die Gesundheit der Tiere liegt den Deutschen am Herzen. So stimmen knapp 60 Prozent der Aussage zu „Haustiere haben den gleichen Anspruch auf Arzneimittel wie Menschen“. Hoch </w:t>
      </w:r>
      <w:proofErr w:type="gramStart"/>
      <w:r w:rsidRPr="00951C17">
        <w:rPr>
          <w:rFonts w:ascii="Arial" w:eastAsia="Calibri" w:hAnsi="Arial" w:cs="Arial"/>
          <w:sz w:val="22"/>
          <w:szCs w:val="20"/>
          <w:lang w:eastAsia="en-US"/>
        </w:rPr>
        <w:t>ist</w:t>
      </w:r>
      <w:proofErr w:type="gramEnd"/>
      <w:r w:rsidRPr="00951C17">
        <w:rPr>
          <w:rFonts w:ascii="Arial" w:eastAsia="Calibri" w:hAnsi="Arial" w:cs="Arial"/>
          <w:sz w:val="22"/>
          <w:szCs w:val="20"/>
          <w:lang w:eastAsia="en-US"/>
        </w:rPr>
        <w:t xml:space="preserve"> auch das Wissen und die Akzeptanz von vorbeugenden Maßnahmen wie Impfung, Entwurmung und Behandlungen gegen Flöhe und Zecken. So stimmen mehr als zwei Drittel (67 %) der Befragten der Aussage zu „Haustiere sollten genauso wie unsere Kinder regelmäßig geimpft werden“. 70 Prozent befürworten eine regelmäßige Anwendung von Mitteln gegen Flöhe und Zecken, um einen Befall zu verhindern. 83 Prozent stimmen der Aussage zu „Haustiere sollten regelmäßig entwurmt werden“. </w:t>
      </w:r>
    </w:p>
    <w:p w:rsidR="00951C17" w:rsidRPr="00951C17" w:rsidRDefault="00951C17" w:rsidP="00951C17">
      <w:pPr>
        <w:spacing w:line="276" w:lineRule="auto"/>
        <w:jc w:val="both"/>
        <w:rPr>
          <w:rFonts w:ascii="Arial" w:eastAsia="Calibri" w:hAnsi="Arial" w:cs="Arial"/>
          <w:sz w:val="22"/>
          <w:szCs w:val="20"/>
          <w:lang w:eastAsia="en-US"/>
        </w:rPr>
      </w:pPr>
      <w:r w:rsidRPr="00951C17">
        <w:rPr>
          <w:rFonts w:ascii="Arial" w:eastAsia="Calibri" w:hAnsi="Arial" w:cs="Arial"/>
          <w:sz w:val="22"/>
          <w:szCs w:val="20"/>
          <w:lang w:eastAsia="en-US"/>
        </w:rPr>
        <w:t>Trotz der positiven Ergebnisse der IFAH-Europe Umfrage, fühlen sich die Befragten allgemein über das Thema „Tierarzneimittel“ durch die Medien schlecht informiert. Nur 18 Prozent fühlen sich gut informiert. Mehr als ein Drittel (35 %) weiß nicht, dass Tierarzneimittel vor dem Verkauf getestet und geprüft werden müssen. Drei Fünftel (61% bzw. 59 %) wissen nicht, dass Tierarzneimittel den gleichen Sicherheitsstandards wie Arzneimittel für den Menschen unterliegen und von unabhängigen Wissenschaftlern bewertet und geprüft werden müssen, bevor sie in den Verkauf gehen. Wichtigste Informationsquellen zu Fragen des Tierarzneimitteleinsatzes bei Kleintieren sind Tierärzte (51 %) und das Internet (58 %).</w:t>
      </w:r>
    </w:p>
    <w:p w:rsidR="00951C17" w:rsidRPr="00951C17" w:rsidRDefault="00951C17" w:rsidP="00951C17">
      <w:pPr>
        <w:spacing w:line="276" w:lineRule="auto"/>
        <w:jc w:val="both"/>
        <w:rPr>
          <w:rFonts w:ascii="Arial" w:eastAsia="Calibri" w:hAnsi="Arial" w:cs="Arial"/>
          <w:sz w:val="22"/>
          <w:szCs w:val="20"/>
          <w:lang w:eastAsia="en-US"/>
        </w:rPr>
      </w:pPr>
    </w:p>
    <w:p w:rsidR="00951C17" w:rsidRPr="00951C17" w:rsidRDefault="00951C17" w:rsidP="00951C17">
      <w:pPr>
        <w:spacing w:after="200" w:line="276" w:lineRule="auto"/>
        <w:jc w:val="both"/>
        <w:rPr>
          <w:rFonts w:ascii="Arial" w:eastAsia="Calibri" w:hAnsi="Arial" w:cs="Arial"/>
          <w:sz w:val="22"/>
          <w:szCs w:val="20"/>
          <w:lang w:eastAsia="en-US"/>
        </w:rPr>
      </w:pPr>
      <w:r w:rsidRPr="00951C17">
        <w:rPr>
          <w:rFonts w:ascii="Arial" w:eastAsia="Calibri" w:hAnsi="Arial" w:cs="Arial"/>
          <w:sz w:val="22"/>
          <w:szCs w:val="20"/>
          <w:lang w:eastAsia="en-US"/>
        </w:rPr>
        <w:t>Insgesamt verdeutlicht die Studie, dass konkrete Maßnahmen beim Einsatz von Tierarzneimitteln auf eine hohe Akzeptanz stoßen. Lücken gibt es zu den Fakten über Regelungen der Zulassung und Kontrolle von Tierarzneimitteln, die damit verbundenen Bedenken sind entsprechend groß.</w:t>
      </w:r>
    </w:p>
    <w:p w:rsidR="00951C17" w:rsidRPr="00951C17" w:rsidRDefault="00951C17" w:rsidP="00951C17">
      <w:pPr>
        <w:spacing w:after="200" w:line="276" w:lineRule="auto"/>
        <w:jc w:val="both"/>
        <w:rPr>
          <w:rFonts w:ascii="Arial" w:eastAsia="Calibri" w:hAnsi="Arial" w:cs="Arial"/>
          <w:sz w:val="22"/>
          <w:szCs w:val="20"/>
          <w:lang w:eastAsia="en-US"/>
        </w:rPr>
      </w:pPr>
      <w:r w:rsidRPr="00951C17">
        <w:rPr>
          <w:rFonts w:ascii="Arial" w:eastAsia="Calibri" w:hAnsi="Arial" w:cs="Arial"/>
          <w:sz w:val="22"/>
          <w:szCs w:val="20"/>
          <w:lang w:eastAsia="en-US"/>
        </w:rPr>
        <w:t>Heimtiere erfreuen sich nach wie vor großer Beliebtheit. Nach den neuesten Zahlen vom Industrieverband  Heimtierbedarf e. V. und dem Zentralverband Zoologischer Fachbetriebe e.V. halten 44 Prozent aller Haushalte in Deutschland ein oder mehrere Haustiere. Laut Studie gibt es in Deutschland 13,4 Millionen Katzen und 8,6 Millionen Hunde.</w:t>
      </w:r>
    </w:p>
    <w:p w:rsidR="00951C17" w:rsidRPr="00951C17" w:rsidRDefault="00951C17" w:rsidP="00951C17">
      <w:pPr>
        <w:spacing w:after="200" w:line="276" w:lineRule="auto"/>
        <w:jc w:val="both"/>
        <w:rPr>
          <w:rFonts w:ascii="Arial" w:eastAsia="Calibri" w:hAnsi="Arial" w:cs="Arial"/>
          <w:sz w:val="22"/>
          <w:szCs w:val="20"/>
          <w:lang w:eastAsia="en-US"/>
        </w:rPr>
      </w:pPr>
    </w:p>
    <w:p w:rsidR="00951C17" w:rsidRPr="00951C17" w:rsidRDefault="00951C17" w:rsidP="00951C17">
      <w:pPr>
        <w:jc w:val="both"/>
        <w:rPr>
          <w:rFonts w:ascii="Arial" w:eastAsia="Calibri" w:hAnsi="Arial" w:cs="Arial"/>
          <w:b/>
          <w:sz w:val="22"/>
          <w:szCs w:val="20"/>
          <w:lang w:eastAsia="en-US"/>
        </w:rPr>
      </w:pPr>
      <w:r w:rsidRPr="00951C17">
        <w:rPr>
          <w:rFonts w:ascii="Arial" w:eastAsia="Calibri" w:hAnsi="Arial" w:cs="Arial"/>
          <w:b/>
          <w:sz w:val="22"/>
          <w:szCs w:val="20"/>
          <w:lang w:eastAsia="en-US"/>
        </w:rPr>
        <w:t>Wichtige Fakten über die Tierarzneimittelzulassung</w:t>
      </w:r>
    </w:p>
    <w:p w:rsidR="00951C17" w:rsidRPr="00951C17" w:rsidRDefault="00951C17" w:rsidP="00951C17">
      <w:pPr>
        <w:jc w:val="both"/>
        <w:rPr>
          <w:rFonts w:ascii="Arial" w:eastAsia="Calibri" w:hAnsi="Arial" w:cs="Arial"/>
          <w:sz w:val="22"/>
          <w:szCs w:val="20"/>
          <w:lang w:eastAsia="en-US"/>
        </w:rPr>
      </w:pPr>
    </w:p>
    <w:p w:rsidR="00951C17" w:rsidRPr="00951C17" w:rsidRDefault="00951C17" w:rsidP="00951C17">
      <w:pPr>
        <w:jc w:val="both"/>
        <w:rPr>
          <w:rFonts w:ascii="Arial" w:eastAsia="Calibri" w:hAnsi="Arial" w:cs="Arial"/>
          <w:sz w:val="22"/>
          <w:szCs w:val="20"/>
          <w:lang w:eastAsia="en-US"/>
        </w:rPr>
      </w:pPr>
    </w:p>
    <w:p w:rsidR="00951C17" w:rsidRPr="00951C17" w:rsidRDefault="00951C17" w:rsidP="00951C17">
      <w:pPr>
        <w:numPr>
          <w:ilvl w:val="0"/>
          <w:numId w:val="1"/>
        </w:numPr>
        <w:spacing w:after="200" w:line="276" w:lineRule="auto"/>
        <w:contextualSpacing/>
        <w:jc w:val="both"/>
        <w:rPr>
          <w:rFonts w:ascii="Arial" w:eastAsia="Calibri" w:hAnsi="Arial" w:cs="Arial"/>
          <w:sz w:val="22"/>
          <w:szCs w:val="20"/>
          <w:lang w:eastAsia="en-US"/>
        </w:rPr>
      </w:pPr>
      <w:r w:rsidRPr="00951C17">
        <w:rPr>
          <w:rFonts w:ascii="Arial" w:eastAsia="Calibri" w:hAnsi="Arial" w:cs="Arial"/>
          <w:sz w:val="22"/>
          <w:szCs w:val="20"/>
          <w:lang w:eastAsia="en-US"/>
        </w:rPr>
        <w:t xml:space="preserve">Tierarzneimittel unterliegen einer strengen behördlichen Zulassung nach vergleichbaren Vorgaben wie Arzneimittel für Menschen. </w:t>
      </w:r>
    </w:p>
    <w:p w:rsidR="00951C17" w:rsidRPr="00951C17" w:rsidRDefault="00951C17" w:rsidP="00951C17">
      <w:pPr>
        <w:spacing w:after="200" w:line="276" w:lineRule="auto"/>
        <w:ind w:left="720"/>
        <w:contextualSpacing/>
        <w:jc w:val="both"/>
        <w:rPr>
          <w:rFonts w:ascii="Arial" w:eastAsia="Calibri" w:hAnsi="Arial" w:cs="Arial"/>
          <w:sz w:val="22"/>
          <w:szCs w:val="20"/>
          <w:lang w:eastAsia="en-US"/>
        </w:rPr>
      </w:pPr>
    </w:p>
    <w:p w:rsidR="00951C17" w:rsidRPr="00951C17" w:rsidRDefault="00951C17" w:rsidP="00951C17">
      <w:pPr>
        <w:numPr>
          <w:ilvl w:val="0"/>
          <w:numId w:val="1"/>
        </w:numPr>
        <w:spacing w:after="200" w:line="276" w:lineRule="auto"/>
        <w:contextualSpacing/>
        <w:jc w:val="both"/>
        <w:rPr>
          <w:rFonts w:ascii="Arial" w:eastAsia="Calibri" w:hAnsi="Arial" w:cs="Arial"/>
          <w:sz w:val="22"/>
          <w:szCs w:val="20"/>
          <w:lang w:eastAsia="en-US"/>
        </w:rPr>
      </w:pPr>
      <w:r w:rsidRPr="00951C17">
        <w:rPr>
          <w:rFonts w:ascii="Arial" w:eastAsia="Calibri" w:hAnsi="Arial" w:cs="Arial"/>
          <w:sz w:val="22"/>
          <w:szCs w:val="20"/>
          <w:lang w:eastAsia="en-US"/>
        </w:rPr>
        <w:lastRenderedPageBreak/>
        <w:t>Geprüft werden die Qualität, die Wirksamkeit und die Sicherheit der Arzneimittel.</w:t>
      </w:r>
    </w:p>
    <w:p w:rsidR="00951C17" w:rsidRPr="00951C17" w:rsidRDefault="00951C17" w:rsidP="00951C17">
      <w:pPr>
        <w:spacing w:after="200" w:line="276" w:lineRule="auto"/>
        <w:ind w:left="720"/>
        <w:contextualSpacing/>
        <w:jc w:val="both"/>
        <w:rPr>
          <w:rFonts w:ascii="Arial" w:eastAsia="Calibri" w:hAnsi="Arial" w:cs="Arial"/>
          <w:sz w:val="22"/>
          <w:szCs w:val="20"/>
          <w:lang w:eastAsia="en-US"/>
        </w:rPr>
      </w:pPr>
    </w:p>
    <w:p w:rsidR="00951C17" w:rsidRPr="00951C17" w:rsidRDefault="00951C17" w:rsidP="00951C17">
      <w:pPr>
        <w:numPr>
          <w:ilvl w:val="0"/>
          <w:numId w:val="1"/>
        </w:numPr>
        <w:spacing w:after="200" w:line="276" w:lineRule="auto"/>
        <w:contextualSpacing/>
        <w:jc w:val="both"/>
        <w:rPr>
          <w:rFonts w:ascii="Arial" w:eastAsia="Calibri" w:hAnsi="Arial" w:cs="Arial"/>
          <w:sz w:val="22"/>
          <w:szCs w:val="20"/>
          <w:lang w:eastAsia="en-US"/>
        </w:rPr>
      </w:pPr>
      <w:r w:rsidRPr="00951C17">
        <w:rPr>
          <w:rFonts w:ascii="Arial" w:eastAsia="Calibri" w:hAnsi="Arial" w:cs="Arial"/>
          <w:sz w:val="22"/>
          <w:szCs w:val="20"/>
          <w:lang w:eastAsia="en-US"/>
        </w:rPr>
        <w:t>Die Sicherheitsprüfung umfasst mehrere Bereiche:</w:t>
      </w:r>
    </w:p>
    <w:p w:rsidR="00951C17" w:rsidRPr="00951C17" w:rsidRDefault="00951C17" w:rsidP="00951C17">
      <w:pPr>
        <w:numPr>
          <w:ilvl w:val="0"/>
          <w:numId w:val="2"/>
        </w:numPr>
        <w:spacing w:after="200" w:line="276" w:lineRule="auto"/>
        <w:contextualSpacing/>
        <w:jc w:val="both"/>
        <w:rPr>
          <w:rFonts w:ascii="Arial" w:eastAsia="Calibri" w:hAnsi="Arial" w:cs="Arial"/>
          <w:sz w:val="22"/>
          <w:szCs w:val="20"/>
          <w:lang w:eastAsia="en-US"/>
        </w:rPr>
      </w:pPr>
      <w:r w:rsidRPr="00951C17">
        <w:rPr>
          <w:rFonts w:ascii="Arial" w:eastAsia="Calibri" w:hAnsi="Arial" w:cs="Arial"/>
          <w:sz w:val="22"/>
          <w:szCs w:val="20"/>
          <w:lang w:eastAsia="en-US"/>
        </w:rPr>
        <w:t xml:space="preserve">Sicherheit beim </w:t>
      </w:r>
      <w:proofErr w:type="spellStart"/>
      <w:r w:rsidRPr="00951C17">
        <w:rPr>
          <w:rFonts w:ascii="Arial" w:eastAsia="Calibri" w:hAnsi="Arial" w:cs="Arial"/>
          <w:sz w:val="22"/>
          <w:szCs w:val="20"/>
          <w:lang w:eastAsia="en-US"/>
        </w:rPr>
        <w:t>Zieltier</w:t>
      </w:r>
      <w:proofErr w:type="spellEnd"/>
    </w:p>
    <w:p w:rsidR="00951C17" w:rsidRPr="00951C17" w:rsidRDefault="00951C17" w:rsidP="00951C17">
      <w:pPr>
        <w:numPr>
          <w:ilvl w:val="0"/>
          <w:numId w:val="2"/>
        </w:numPr>
        <w:spacing w:after="200" w:line="276" w:lineRule="auto"/>
        <w:contextualSpacing/>
        <w:jc w:val="both"/>
        <w:rPr>
          <w:rFonts w:ascii="Arial" w:eastAsia="Calibri" w:hAnsi="Arial" w:cs="Arial"/>
          <w:sz w:val="22"/>
          <w:szCs w:val="20"/>
          <w:lang w:eastAsia="en-US"/>
        </w:rPr>
      </w:pPr>
      <w:r w:rsidRPr="00951C17">
        <w:rPr>
          <w:rFonts w:ascii="Arial" w:eastAsia="Calibri" w:hAnsi="Arial" w:cs="Arial"/>
          <w:sz w:val="22"/>
          <w:szCs w:val="20"/>
          <w:lang w:eastAsia="en-US"/>
        </w:rPr>
        <w:t xml:space="preserve">Sicherheit für den Anwender </w:t>
      </w:r>
    </w:p>
    <w:p w:rsidR="00951C17" w:rsidRPr="00951C17" w:rsidRDefault="00951C17" w:rsidP="00951C17">
      <w:pPr>
        <w:numPr>
          <w:ilvl w:val="0"/>
          <w:numId w:val="2"/>
        </w:numPr>
        <w:spacing w:after="200" w:line="276" w:lineRule="auto"/>
        <w:contextualSpacing/>
        <w:jc w:val="both"/>
        <w:rPr>
          <w:rFonts w:ascii="Arial" w:eastAsia="Calibri" w:hAnsi="Arial" w:cs="Arial"/>
          <w:sz w:val="22"/>
          <w:szCs w:val="20"/>
          <w:lang w:eastAsia="en-US"/>
        </w:rPr>
      </w:pPr>
      <w:r w:rsidRPr="00951C17">
        <w:rPr>
          <w:rFonts w:ascii="Arial" w:eastAsia="Calibri" w:hAnsi="Arial" w:cs="Arial"/>
          <w:sz w:val="22"/>
          <w:szCs w:val="20"/>
          <w:lang w:eastAsia="en-US"/>
        </w:rPr>
        <w:t>Sicherheit der Umwelt</w:t>
      </w:r>
    </w:p>
    <w:p w:rsidR="00951C17" w:rsidRPr="00951C17" w:rsidRDefault="00951C17" w:rsidP="00951C17">
      <w:pPr>
        <w:spacing w:after="200" w:line="276" w:lineRule="auto"/>
        <w:ind w:left="1080"/>
        <w:contextualSpacing/>
        <w:jc w:val="both"/>
        <w:rPr>
          <w:rFonts w:ascii="Arial" w:eastAsia="Calibri" w:hAnsi="Arial" w:cs="Arial"/>
          <w:sz w:val="22"/>
          <w:szCs w:val="20"/>
          <w:lang w:eastAsia="en-US"/>
        </w:rPr>
      </w:pPr>
    </w:p>
    <w:p w:rsidR="00951C17" w:rsidRPr="00951C17" w:rsidRDefault="00951C17" w:rsidP="00951C17">
      <w:pPr>
        <w:numPr>
          <w:ilvl w:val="0"/>
          <w:numId w:val="3"/>
        </w:numPr>
        <w:spacing w:after="200" w:line="276" w:lineRule="auto"/>
        <w:contextualSpacing/>
        <w:jc w:val="both"/>
        <w:rPr>
          <w:rFonts w:ascii="Arial" w:eastAsia="Calibri" w:hAnsi="Arial" w:cs="Arial"/>
          <w:sz w:val="22"/>
          <w:szCs w:val="20"/>
          <w:lang w:eastAsia="en-US"/>
        </w:rPr>
      </w:pPr>
      <w:r w:rsidRPr="00951C17">
        <w:rPr>
          <w:rFonts w:ascii="Arial" w:eastAsia="Calibri" w:hAnsi="Arial" w:cs="Arial"/>
          <w:sz w:val="22"/>
          <w:szCs w:val="20"/>
          <w:lang w:eastAsia="en-US"/>
        </w:rPr>
        <w:t>Bei Nutztieren wird darüber hinaus auch die Sicherheit für die erzeugten Lebensmittel geprüft.</w:t>
      </w:r>
    </w:p>
    <w:p w:rsidR="00951C17" w:rsidRPr="00951C17" w:rsidRDefault="00951C17" w:rsidP="00951C17">
      <w:pPr>
        <w:spacing w:after="200" w:line="276" w:lineRule="auto"/>
        <w:ind w:left="1080"/>
        <w:contextualSpacing/>
        <w:jc w:val="both"/>
        <w:rPr>
          <w:rFonts w:ascii="Arial" w:eastAsia="Calibri" w:hAnsi="Arial" w:cs="Arial"/>
          <w:sz w:val="22"/>
          <w:szCs w:val="20"/>
          <w:lang w:eastAsia="en-US"/>
        </w:rPr>
      </w:pPr>
    </w:p>
    <w:p w:rsidR="00951C17" w:rsidRPr="00951C17" w:rsidRDefault="00951C17" w:rsidP="00951C17">
      <w:pPr>
        <w:numPr>
          <w:ilvl w:val="0"/>
          <w:numId w:val="1"/>
        </w:numPr>
        <w:spacing w:after="200" w:line="276" w:lineRule="auto"/>
        <w:contextualSpacing/>
        <w:jc w:val="both"/>
        <w:rPr>
          <w:rFonts w:ascii="Arial" w:eastAsia="Calibri" w:hAnsi="Arial" w:cs="Arial"/>
          <w:sz w:val="22"/>
          <w:szCs w:val="20"/>
          <w:lang w:eastAsia="en-US"/>
        </w:rPr>
      </w:pPr>
      <w:r w:rsidRPr="00951C17">
        <w:rPr>
          <w:rFonts w:ascii="Arial" w:eastAsia="Calibri" w:hAnsi="Arial" w:cs="Arial"/>
          <w:sz w:val="22"/>
          <w:szCs w:val="20"/>
          <w:lang w:eastAsia="en-US"/>
        </w:rPr>
        <w:t>Folgende Behörden sind für die Zulassung von Tierarzneimitteln in Deutschland zuständig:</w:t>
      </w:r>
    </w:p>
    <w:p w:rsidR="00951C17" w:rsidRPr="00951C17" w:rsidRDefault="00951C17" w:rsidP="00951C17">
      <w:pPr>
        <w:numPr>
          <w:ilvl w:val="0"/>
          <w:numId w:val="2"/>
        </w:numPr>
        <w:spacing w:after="200" w:line="276" w:lineRule="auto"/>
        <w:contextualSpacing/>
        <w:jc w:val="both"/>
        <w:rPr>
          <w:rFonts w:ascii="Arial" w:eastAsia="Calibri" w:hAnsi="Arial" w:cs="Arial"/>
          <w:sz w:val="22"/>
          <w:szCs w:val="20"/>
          <w:lang w:eastAsia="en-US"/>
        </w:rPr>
      </w:pPr>
      <w:r w:rsidRPr="00951C17">
        <w:rPr>
          <w:rFonts w:ascii="Arial" w:eastAsia="Calibri" w:hAnsi="Arial" w:cs="Arial"/>
          <w:sz w:val="22"/>
          <w:szCs w:val="20"/>
          <w:lang w:eastAsia="en-US"/>
        </w:rPr>
        <w:t xml:space="preserve">Das </w:t>
      </w:r>
      <w:r w:rsidRPr="00951C17">
        <w:rPr>
          <w:rFonts w:ascii="Arial" w:eastAsia="Calibri" w:hAnsi="Arial" w:cs="Arial"/>
          <w:b/>
          <w:sz w:val="22"/>
          <w:szCs w:val="20"/>
          <w:lang w:eastAsia="en-US"/>
        </w:rPr>
        <w:t>Bundesamt für Verbraucherschutz und Lebensmittelsicherheit</w:t>
      </w:r>
      <w:r w:rsidRPr="00951C17">
        <w:rPr>
          <w:rFonts w:ascii="Arial" w:eastAsia="Calibri" w:hAnsi="Arial" w:cs="Arial"/>
          <w:sz w:val="22"/>
          <w:szCs w:val="20"/>
          <w:lang w:eastAsia="en-US"/>
        </w:rPr>
        <w:t xml:space="preserve"> (BVL) ist zuständig für die pharmazeutischen Tierarzneimittel.</w:t>
      </w:r>
    </w:p>
    <w:p w:rsidR="00951C17" w:rsidRPr="00951C17" w:rsidRDefault="00951C17" w:rsidP="00951C17">
      <w:pPr>
        <w:numPr>
          <w:ilvl w:val="0"/>
          <w:numId w:val="2"/>
        </w:numPr>
        <w:spacing w:after="200" w:line="276" w:lineRule="auto"/>
        <w:contextualSpacing/>
        <w:jc w:val="both"/>
        <w:rPr>
          <w:rFonts w:ascii="Arial" w:eastAsia="Calibri" w:hAnsi="Arial" w:cs="Arial"/>
          <w:sz w:val="22"/>
          <w:szCs w:val="20"/>
          <w:lang w:eastAsia="en-US"/>
        </w:rPr>
      </w:pPr>
      <w:r w:rsidRPr="00951C17">
        <w:rPr>
          <w:rFonts w:ascii="Arial" w:eastAsia="Calibri" w:hAnsi="Arial" w:cs="Arial"/>
          <w:sz w:val="22"/>
          <w:szCs w:val="20"/>
          <w:lang w:eastAsia="en-US"/>
        </w:rPr>
        <w:t xml:space="preserve">Das </w:t>
      </w:r>
      <w:r w:rsidRPr="00951C17">
        <w:rPr>
          <w:rFonts w:ascii="Arial" w:eastAsia="Calibri" w:hAnsi="Arial" w:cs="Arial"/>
          <w:b/>
          <w:sz w:val="22"/>
          <w:szCs w:val="20"/>
          <w:lang w:eastAsia="en-US"/>
        </w:rPr>
        <w:t>Paul-Ehrlich-Institut</w:t>
      </w:r>
      <w:r w:rsidRPr="00951C17">
        <w:rPr>
          <w:rFonts w:ascii="Arial" w:eastAsia="Calibri" w:hAnsi="Arial" w:cs="Arial"/>
          <w:sz w:val="22"/>
          <w:szCs w:val="20"/>
          <w:lang w:eastAsia="en-US"/>
        </w:rPr>
        <w:t xml:space="preserve"> (PEI) kümmert sich um die Zulassung von Tierimpfstoffen und Sera.</w:t>
      </w:r>
    </w:p>
    <w:p w:rsidR="00951C17" w:rsidRPr="00951C17" w:rsidRDefault="00951C17" w:rsidP="00951C17">
      <w:pPr>
        <w:spacing w:after="200" w:line="276" w:lineRule="auto"/>
        <w:ind w:left="720"/>
        <w:contextualSpacing/>
        <w:jc w:val="both"/>
        <w:rPr>
          <w:rFonts w:ascii="Arial" w:eastAsia="Calibri" w:hAnsi="Arial" w:cs="Arial"/>
          <w:sz w:val="22"/>
          <w:szCs w:val="20"/>
          <w:lang w:eastAsia="en-US"/>
        </w:rPr>
      </w:pPr>
    </w:p>
    <w:p w:rsidR="00951C17" w:rsidRPr="00951C17" w:rsidRDefault="00951C17" w:rsidP="00951C17">
      <w:pPr>
        <w:numPr>
          <w:ilvl w:val="0"/>
          <w:numId w:val="1"/>
        </w:numPr>
        <w:spacing w:after="200" w:line="276" w:lineRule="auto"/>
        <w:contextualSpacing/>
        <w:jc w:val="both"/>
        <w:rPr>
          <w:rFonts w:ascii="Arial" w:eastAsia="Calibri" w:hAnsi="Arial" w:cs="Arial"/>
          <w:sz w:val="22"/>
          <w:szCs w:val="20"/>
          <w:lang w:eastAsia="en-US"/>
        </w:rPr>
      </w:pPr>
      <w:r w:rsidRPr="00951C17">
        <w:rPr>
          <w:rFonts w:ascii="Arial" w:eastAsia="Calibri" w:hAnsi="Arial" w:cs="Arial"/>
          <w:sz w:val="22"/>
          <w:szCs w:val="20"/>
          <w:lang w:eastAsia="en-US"/>
        </w:rPr>
        <w:t xml:space="preserve">Auf der EU-Ebene ist die </w:t>
      </w:r>
      <w:r w:rsidRPr="00951C17">
        <w:rPr>
          <w:rFonts w:ascii="Arial" w:eastAsia="Calibri" w:hAnsi="Arial" w:cs="Arial"/>
          <w:b/>
          <w:sz w:val="22"/>
          <w:szCs w:val="20"/>
          <w:lang w:eastAsia="en-US"/>
        </w:rPr>
        <w:t>Europäische Arzneimittel-Agentur</w:t>
      </w:r>
      <w:r w:rsidRPr="00951C17">
        <w:rPr>
          <w:rFonts w:ascii="Arial" w:eastAsia="Calibri" w:hAnsi="Arial" w:cs="Arial"/>
          <w:sz w:val="22"/>
          <w:szCs w:val="20"/>
          <w:lang w:eastAsia="en-US"/>
        </w:rPr>
        <w:t xml:space="preserve"> (EMA) für die Arzneimittelzulassung zuständig.</w:t>
      </w:r>
    </w:p>
    <w:p w:rsidR="00951C17" w:rsidRPr="00951C17" w:rsidRDefault="00951C17" w:rsidP="00951C17">
      <w:pPr>
        <w:spacing w:after="200" w:line="276" w:lineRule="auto"/>
        <w:ind w:left="720"/>
        <w:contextualSpacing/>
        <w:jc w:val="both"/>
        <w:rPr>
          <w:rFonts w:ascii="Arial" w:eastAsia="Calibri" w:hAnsi="Arial" w:cs="Arial"/>
          <w:sz w:val="22"/>
          <w:szCs w:val="20"/>
          <w:lang w:eastAsia="en-US"/>
        </w:rPr>
      </w:pPr>
    </w:p>
    <w:p w:rsidR="00951C17" w:rsidRPr="00951C17" w:rsidRDefault="00951C17" w:rsidP="00951C17">
      <w:pPr>
        <w:numPr>
          <w:ilvl w:val="0"/>
          <w:numId w:val="1"/>
        </w:numPr>
        <w:spacing w:after="200" w:line="276" w:lineRule="auto"/>
        <w:contextualSpacing/>
        <w:jc w:val="both"/>
        <w:rPr>
          <w:rFonts w:ascii="Arial" w:eastAsia="Calibri" w:hAnsi="Arial" w:cs="Arial"/>
          <w:sz w:val="22"/>
          <w:szCs w:val="20"/>
          <w:lang w:eastAsia="en-US"/>
        </w:rPr>
      </w:pPr>
      <w:r w:rsidRPr="00951C17">
        <w:rPr>
          <w:rFonts w:ascii="Arial" w:eastAsia="Calibri" w:hAnsi="Arial" w:cs="Arial"/>
          <w:sz w:val="22"/>
          <w:szCs w:val="20"/>
          <w:lang w:eastAsia="en-US"/>
        </w:rPr>
        <w:t xml:space="preserve">Jedes Arzneimittel wird jeweils speziell für die Zieltierart geprüft und zugelassen. </w:t>
      </w:r>
    </w:p>
    <w:p w:rsidR="00951C17" w:rsidRPr="00951C17" w:rsidRDefault="00951C17" w:rsidP="00951C17">
      <w:pPr>
        <w:spacing w:after="200" w:line="276" w:lineRule="auto"/>
        <w:ind w:left="720"/>
        <w:contextualSpacing/>
        <w:jc w:val="both"/>
        <w:rPr>
          <w:rFonts w:ascii="Arial" w:eastAsia="Calibri" w:hAnsi="Arial" w:cs="Arial"/>
          <w:b/>
          <w:sz w:val="22"/>
          <w:szCs w:val="20"/>
          <w:lang w:eastAsia="en-US"/>
        </w:rPr>
      </w:pPr>
    </w:p>
    <w:p w:rsidR="00951C17" w:rsidRPr="00951C17" w:rsidRDefault="00951C17" w:rsidP="00951C17">
      <w:pPr>
        <w:spacing w:after="200" w:line="276" w:lineRule="auto"/>
        <w:ind w:left="720"/>
        <w:contextualSpacing/>
        <w:jc w:val="both"/>
        <w:rPr>
          <w:rFonts w:ascii="Arial" w:eastAsia="Calibri" w:hAnsi="Arial" w:cs="Arial"/>
          <w:sz w:val="22"/>
          <w:szCs w:val="20"/>
          <w:lang w:eastAsia="en-US"/>
        </w:rPr>
      </w:pPr>
      <w:r w:rsidRPr="00951C17">
        <w:rPr>
          <w:rFonts w:ascii="Arial" w:eastAsia="Calibri" w:hAnsi="Arial" w:cs="Arial"/>
          <w:b/>
          <w:sz w:val="22"/>
          <w:szCs w:val="20"/>
          <w:lang w:eastAsia="en-US"/>
        </w:rPr>
        <w:t>Wichtig:</w:t>
      </w:r>
      <w:r w:rsidRPr="00951C17">
        <w:rPr>
          <w:rFonts w:ascii="Arial" w:eastAsia="Calibri" w:hAnsi="Arial" w:cs="Arial"/>
          <w:sz w:val="22"/>
          <w:szCs w:val="20"/>
          <w:lang w:eastAsia="en-US"/>
        </w:rPr>
        <w:t xml:space="preserve"> Da sich die Tierarten zum Teil in ihrem Stoffwechsel grundlegend unterscheiden sollten Tierarzneimittel, außer es ist vom Tierarzt explizit anders angeordnet worden, nicht bei einer anderen Tierart zur Anwendung kommen (z.B. kann das Flohmittel für den Hund für die Katze unverträglich sein).</w:t>
      </w:r>
    </w:p>
    <w:p w:rsidR="00951C17" w:rsidRPr="00951C17" w:rsidRDefault="00951C17" w:rsidP="00951C17">
      <w:pPr>
        <w:spacing w:after="200" w:line="276" w:lineRule="auto"/>
        <w:ind w:left="720"/>
        <w:contextualSpacing/>
        <w:jc w:val="both"/>
        <w:rPr>
          <w:rFonts w:ascii="Arial" w:eastAsia="Calibri" w:hAnsi="Arial" w:cs="Arial"/>
          <w:sz w:val="22"/>
          <w:szCs w:val="20"/>
          <w:lang w:eastAsia="en-US"/>
        </w:rPr>
      </w:pPr>
    </w:p>
    <w:p w:rsidR="00951C17" w:rsidRPr="00951C17" w:rsidRDefault="00951C17" w:rsidP="00951C17">
      <w:pPr>
        <w:spacing w:after="200" w:line="276" w:lineRule="auto"/>
        <w:ind w:left="720"/>
        <w:contextualSpacing/>
        <w:jc w:val="both"/>
        <w:rPr>
          <w:rFonts w:ascii="Arial" w:eastAsia="Calibri" w:hAnsi="Arial" w:cs="Arial"/>
          <w:sz w:val="22"/>
          <w:szCs w:val="20"/>
          <w:lang w:eastAsia="en-US"/>
        </w:rPr>
      </w:pPr>
      <w:r w:rsidRPr="00951C17">
        <w:rPr>
          <w:rFonts w:ascii="Arial" w:eastAsia="Calibri" w:hAnsi="Arial" w:cs="Arial"/>
          <w:sz w:val="22"/>
          <w:szCs w:val="20"/>
          <w:lang w:eastAsia="en-US"/>
        </w:rPr>
        <w:t xml:space="preserve">Humanarzneimittel sollten bei Tieren auch aus demselben Grund nicht angewendet werden. </w:t>
      </w:r>
    </w:p>
    <w:p w:rsidR="00951C17" w:rsidRPr="00951C17" w:rsidRDefault="00951C17" w:rsidP="00951C17">
      <w:pPr>
        <w:spacing w:after="200" w:line="276" w:lineRule="auto"/>
        <w:ind w:left="720"/>
        <w:contextualSpacing/>
        <w:jc w:val="both"/>
        <w:rPr>
          <w:rFonts w:ascii="Arial" w:eastAsia="Calibri" w:hAnsi="Arial" w:cs="Arial"/>
          <w:sz w:val="22"/>
          <w:szCs w:val="20"/>
          <w:lang w:eastAsia="en-US"/>
        </w:rPr>
      </w:pPr>
    </w:p>
    <w:p w:rsidR="00951C17" w:rsidRPr="00951C17" w:rsidRDefault="00951C17" w:rsidP="00951C17">
      <w:pPr>
        <w:numPr>
          <w:ilvl w:val="0"/>
          <w:numId w:val="1"/>
        </w:numPr>
        <w:spacing w:after="200" w:line="276" w:lineRule="auto"/>
        <w:contextualSpacing/>
        <w:jc w:val="both"/>
        <w:rPr>
          <w:rFonts w:ascii="Arial" w:eastAsia="Calibri" w:hAnsi="Arial" w:cs="Arial"/>
          <w:sz w:val="22"/>
          <w:szCs w:val="20"/>
          <w:lang w:eastAsia="en-US"/>
        </w:rPr>
      </w:pPr>
      <w:r w:rsidRPr="00951C17">
        <w:rPr>
          <w:rFonts w:ascii="Arial" w:eastAsia="Calibri" w:hAnsi="Arial" w:cs="Arial"/>
          <w:b/>
          <w:sz w:val="22"/>
          <w:szCs w:val="20"/>
          <w:lang w:eastAsia="en-US"/>
        </w:rPr>
        <w:t>Wichtig:</w:t>
      </w:r>
      <w:r w:rsidRPr="00951C17">
        <w:rPr>
          <w:rFonts w:ascii="Arial" w:eastAsia="Calibri" w:hAnsi="Arial" w:cs="Arial"/>
          <w:sz w:val="22"/>
          <w:szCs w:val="20"/>
          <w:lang w:eastAsia="en-US"/>
        </w:rPr>
        <w:t xml:space="preserve"> Sogar innerhalb einer Tierart gibt es manchmal verschiedene Tierarzneimittelgrößen oder -stärken, die genau auf das Tier abgestimmt sind (z.B. unterschiedliche Größen bei kleinen, mittelgroßen und großen Hunderassen).</w:t>
      </w:r>
    </w:p>
    <w:p w:rsidR="00951C17" w:rsidRPr="00951C17" w:rsidRDefault="00951C17" w:rsidP="00951C17">
      <w:pPr>
        <w:spacing w:after="200" w:line="276" w:lineRule="auto"/>
        <w:ind w:left="720"/>
        <w:contextualSpacing/>
        <w:jc w:val="both"/>
        <w:rPr>
          <w:rFonts w:ascii="Arial" w:eastAsia="Calibri" w:hAnsi="Arial" w:cs="Arial"/>
          <w:sz w:val="22"/>
          <w:szCs w:val="20"/>
          <w:lang w:eastAsia="en-US"/>
        </w:rPr>
      </w:pPr>
    </w:p>
    <w:p w:rsidR="00951C17" w:rsidRPr="00951C17" w:rsidRDefault="00951C17" w:rsidP="00951C17">
      <w:pPr>
        <w:numPr>
          <w:ilvl w:val="0"/>
          <w:numId w:val="1"/>
        </w:numPr>
        <w:spacing w:after="200" w:line="276" w:lineRule="auto"/>
        <w:contextualSpacing/>
        <w:jc w:val="both"/>
        <w:rPr>
          <w:rFonts w:ascii="Arial" w:eastAsia="Calibri" w:hAnsi="Arial" w:cs="Arial"/>
          <w:sz w:val="22"/>
          <w:szCs w:val="20"/>
          <w:lang w:eastAsia="en-US"/>
        </w:rPr>
      </w:pPr>
      <w:r w:rsidRPr="00951C17">
        <w:rPr>
          <w:rFonts w:ascii="Arial" w:eastAsia="Calibri" w:hAnsi="Arial" w:cs="Arial"/>
          <w:sz w:val="22"/>
          <w:szCs w:val="20"/>
          <w:lang w:eastAsia="en-US"/>
        </w:rPr>
        <w:t>Forschung und Entwicklung eines neuen Wirkstoffes bis hin zur Zulassung eines fertigen Arzneimittels können bis zu zehn Jahren in Anspruch nehmen. Die Kosten für die Neuentwicklung eines Arzneimittels bis zur Marktreife liegen nach Schätzungen bei bis zu 150 Millionen Euro.</w:t>
      </w:r>
    </w:p>
    <w:p w:rsidR="00951C17" w:rsidRPr="00951C17" w:rsidRDefault="00951C17" w:rsidP="00951C17">
      <w:pPr>
        <w:spacing w:after="200" w:line="276" w:lineRule="auto"/>
        <w:ind w:left="708"/>
        <w:jc w:val="both"/>
        <w:rPr>
          <w:rFonts w:ascii="Arial" w:eastAsia="Calibri" w:hAnsi="Arial" w:cs="Arial"/>
          <w:sz w:val="22"/>
          <w:szCs w:val="20"/>
          <w:lang w:eastAsia="en-US"/>
        </w:rPr>
      </w:pPr>
      <w:r w:rsidRPr="00951C17">
        <w:rPr>
          <w:rFonts w:ascii="Arial" w:eastAsia="Calibri" w:hAnsi="Arial" w:cs="Arial"/>
          <w:b/>
          <w:sz w:val="22"/>
          <w:szCs w:val="20"/>
          <w:lang w:eastAsia="en-US"/>
        </w:rPr>
        <w:t>Wichtig:</w:t>
      </w:r>
      <w:r w:rsidRPr="00951C17">
        <w:rPr>
          <w:rFonts w:ascii="Arial" w:eastAsia="Calibri" w:hAnsi="Arial" w:cs="Arial"/>
          <w:sz w:val="22"/>
          <w:szCs w:val="20"/>
          <w:lang w:eastAsia="en-US"/>
        </w:rPr>
        <w:t xml:space="preserve"> Auch nach der Zulassung werden Herstellung und Sicherheit des Produktes fortlaufend überwacht.</w:t>
      </w:r>
    </w:p>
    <w:p w:rsidR="00951C17" w:rsidRPr="00951C17" w:rsidRDefault="00951C17" w:rsidP="00951C17">
      <w:pPr>
        <w:numPr>
          <w:ilvl w:val="0"/>
          <w:numId w:val="1"/>
        </w:numPr>
        <w:spacing w:after="200" w:line="276" w:lineRule="auto"/>
        <w:contextualSpacing/>
        <w:jc w:val="both"/>
        <w:rPr>
          <w:rFonts w:ascii="Arial" w:eastAsia="Calibri" w:hAnsi="Arial" w:cs="Arial"/>
          <w:sz w:val="22"/>
          <w:szCs w:val="20"/>
          <w:lang w:eastAsia="en-US"/>
        </w:rPr>
      </w:pPr>
      <w:r w:rsidRPr="00951C17">
        <w:rPr>
          <w:rFonts w:ascii="Arial" w:eastAsia="Calibri" w:hAnsi="Arial" w:cs="Arial"/>
          <w:sz w:val="22"/>
          <w:szCs w:val="20"/>
          <w:lang w:eastAsia="en-US"/>
        </w:rPr>
        <w:t>Die Unternehmen der Tiergesundheitsindustrie investieren im Durchschnitt acht bis zehn Prozent ihres Umsatzes in Forschung und Entwicklung.</w:t>
      </w:r>
    </w:p>
    <w:p w:rsidR="00951C17" w:rsidRPr="00951C17" w:rsidRDefault="00951C17" w:rsidP="00951C17">
      <w:pPr>
        <w:spacing w:after="200" w:line="276" w:lineRule="auto"/>
        <w:ind w:left="720"/>
        <w:contextualSpacing/>
        <w:jc w:val="both"/>
        <w:rPr>
          <w:rFonts w:ascii="Arial" w:eastAsia="Calibri" w:hAnsi="Arial" w:cs="Arial"/>
          <w:sz w:val="22"/>
          <w:szCs w:val="20"/>
          <w:lang w:eastAsia="en-US"/>
        </w:rPr>
      </w:pPr>
    </w:p>
    <w:p w:rsidR="00951C17" w:rsidRDefault="00951C17" w:rsidP="00951C17">
      <w:pPr>
        <w:numPr>
          <w:ilvl w:val="0"/>
          <w:numId w:val="1"/>
        </w:numPr>
        <w:spacing w:after="200" w:line="276" w:lineRule="auto"/>
        <w:contextualSpacing/>
        <w:jc w:val="both"/>
        <w:rPr>
          <w:rFonts w:ascii="Arial" w:eastAsia="Calibri" w:hAnsi="Arial" w:cs="Arial"/>
          <w:sz w:val="22"/>
          <w:szCs w:val="20"/>
          <w:lang w:eastAsia="en-US"/>
        </w:rPr>
      </w:pPr>
      <w:r w:rsidRPr="00951C17">
        <w:rPr>
          <w:rFonts w:ascii="Arial" w:eastAsia="Calibri" w:hAnsi="Arial" w:cs="Arial"/>
          <w:sz w:val="22"/>
          <w:szCs w:val="20"/>
          <w:lang w:eastAsia="en-US"/>
        </w:rPr>
        <w:t>Der Tierarzneimittelmarkt in Deutschland liegt bei 788 Millionen Euro Umsatz. Dies entspricht etwa drei Prozent verglichen mit dem Humanarzneimittelmarkt.</w:t>
      </w:r>
    </w:p>
    <w:p w:rsidR="00951C17" w:rsidRDefault="00951C17" w:rsidP="00951C17">
      <w:pPr>
        <w:pStyle w:val="Listenabsatz"/>
        <w:rPr>
          <w:rFonts w:ascii="Arial" w:eastAsia="Calibri" w:hAnsi="Arial" w:cs="Arial"/>
          <w:sz w:val="22"/>
          <w:szCs w:val="20"/>
          <w:lang w:eastAsia="en-US"/>
        </w:rPr>
      </w:pPr>
    </w:p>
    <w:p w:rsidR="00951C17" w:rsidRPr="00951C17" w:rsidRDefault="00951C17" w:rsidP="00951C17">
      <w:pPr>
        <w:spacing w:after="200" w:line="276" w:lineRule="auto"/>
        <w:ind w:left="720"/>
        <w:contextualSpacing/>
        <w:jc w:val="both"/>
        <w:rPr>
          <w:rFonts w:ascii="Arial" w:eastAsia="Calibri" w:hAnsi="Arial" w:cs="Arial"/>
          <w:sz w:val="22"/>
          <w:szCs w:val="20"/>
          <w:lang w:eastAsia="en-US"/>
        </w:rPr>
      </w:pPr>
    </w:p>
    <w:p w:rsidR="00951C17" w:rsidRPr="00951C17" w:rsidRDefault="00951C17" w:rsidP="00951C17">
      <w:pPr>
        <w:spacing w:line="276" w:lineRule="auto"/>
        <w:rPr>
          <w:rFonts w:ascii="Arial" w:eastAsia="Calibri" w:hAnsi="Arial" w:cs="Arial"/>
          <w:sz w:val="20"/>
          <w:szCs w:val="22"/>
          <w:lang w:eastAsia="en-US"/>
        </w:rPr>
      </w:pPr>
      <w:r w:rsidRPr="00951C17">
        <w:rPr>
          <w:rFonts w:ascii="Arial" w:eastAsia="Calibri" w:hAnsi="Arial" w:cs="Arial"/>
          <w:sz w:val="20"/>
          <w:szCs w:val="22"/>
          <w:lang w:eastAsia="en-US"/>
        </w:rPr>
        <w:t>Weitere Informationen erteilt der Bundesverband für Tiergesundheit,</w:t>
      </w:r>
    </w:p>
    <w:p w:rsidR="00951C17" w:rsidRPr="00951C17" w:rsidRDefault="00951C17" w:rsidP="00951C17">
      <w:pPr>
        <w:spacing w:line="276" w:lineRule="auto"/>
        <w:rPr>
          <w:rFonts w:ascii="Arial" w:eastAsia="Calibri" w:hAnsi="Arial" w:cs="Arial"/>
          <w:sz w:val="20"/>
          <w:szCs w:val="22"/>
          <w:lang w:eastAsia="en-US"/>
        </w:rPr>
      </w:pPr>
      <w:r w:rsidRPr="00951C17">
        <w:rPr>
          <w:rFonts w:ascii="Arial" w:eastAsia="Calibri" w:hAnsi="Arial" w:cs="Arial"/>
          <w:sz w:val="20"/>
          <w:szCs w:val="22"/>
          <w:lang w:eastAsia="en-US"/>
        </w:rPr>
        <w:t>Dr. Sabine Schüller, Geschäftsführerin, Schwertberger Str. 14,</w:t>
      </w:r>
    </w:p>
    <w:p w:rsidR="00951C17" w:rsidRPr="00951C17" w:rsidRDefault="00951C17" w:rsidP="00951C17">
      <w:pPr>
        <w:spacing w:line="276" w:lineRule="auto"/>
        <w:rPr>
          <w:rFonts w:ascii="Arial" w:eastAsia="Calibri" w:hAnsi="Arial" w:cs="Arial"/>
          <w:sz w:val="20"/>
          <w:szCs w:val="22"/>
          <w:lang w:eastAsia="en-US"/>
        </w:rPr>
      </w:pPr>
      <w:r w:rsidRPr="00951C17">
        <w:rPr>
          <w:rFonts w:ascii="Arial" w:eastAsia="Calibri" w:hAnsi="Arial" w:cs="Arial"/>
          <w:sz w:val="20"/>
          <w:szCs w:val="22"/>
          <w:lang w:eastAsia="en-US"/>
        </w:rPr>
        <w:t xml:space="preserve">53177 Bonn, Tel. 0228 / 31 82 96, </w:t>
      </w:r>
      <w:proofErr w:type="spellStart"/>
      <w:r w:rsidRPr="00951C17">
        <w:rPr>
          <w:rFonts w:ascii="Arial" w:eastAsia="Calibri" w:hAnsi="Arial" w:cs="Arial"/>
          <w:sz w:val="20"/>
          <w:szCs w:val="22"/>
          <w:lang w:eastAsia="en-US"/>
        </w:rPr>
        <w:t>E.Mail</w:t>
      </w:r>
      <w:proofErr w:type="spellEnd"/>
      <w:r w:rsidRPr="00951C17">
        <w:rPr>
          <w:rFonts w:ascii="Arial" w:eastAsia="Calibri" w:hAnsi="Arial" w:cs="Arial"/>
          <w:sz w:val="20"/>
          <w:szCs w:val="22"/>
          <w:lang w:eastAsia="en-US"/>
        </w:rPr>
        <w:t xml:space="preserve"> </w:t>
      </w:r>
      <w:proofErr w:type="spellStart"/>
      <w:r w:rsidRPr="00951C17">
        <w:rPr>
          <w:rFonts w:ascii="Arial" w:eastAsia="Calibri" w:hAnsi="Arial" w:cs="Arial"/>
          <w:sz w:val="20"/>
          <w:szCs w:val="22"/>
          <w:lang w:eastAsia="en-US"/>
        </w:rPr>
        <w:t>bft</w:t>
      </w:r>
      <w:proofErr w:type="spellEnd"/>
      <w:r w:rsidRPr="00951C17">
        <w:rPr>
          <w:rFonts w:ascii="Arial" w:eastAsia="Calibri" w:hAnsi="Arial" w:cs="Arial"/>
          <w:sz w:val="20"/>
          <w:szCs w:val="22"/>
          <w:lang w:eastAsia="en-US"/>
        </w:rPr>
        <w:t>(at)</w:t>
      </w:r>
      <w:proofErr w:type="spellStart"/>
      <w:r w:rsidRPr="00951C17">
        <w:rPr>
          <w:rFonts w:ascii="Arial" w:eastAsia="Calibri" w:hAnsi="Arial" w:cs="Arial"/>
          <w:sz w:val="20"/>
          <w:szCs w:val="22"/>
          <w:lang w:eastAsia="en-US"/>
        </w:rPr>
        <w:t>bft</w:t>
      </w:r>
      <w:proofErr w:type="spellEnd"/>
      <w:r w:rsidRPr="00951C17">
        <w:rPr>
          <w:rFonts w:ascii="Arial" w:eastAsia="Calibri" w:hAnsi="Arial" w:cs="Arial"/>
          <w:sz w:val="20"/>
          <w:szCs w:val="22"/>
          <w:lang w:eastAsia="en-US"/>
        </w:rPr>
        <w:t>-online(</w:t>
      </w:r>
      <w:proofErr w:type="spellStart"/>
      <w:r w:rsidRPr="00951C17">
        <w:rPr>
          <w:rFonts w:ascii="Arial" w:eastAsia="Calibri" w:hAnsi="Arial" w:cs="Arial"/>
          <w:sz w:val="20"/>
          <w:szCs w:val="22"/>
          <w:lang w:eastAsia="en-US"/>
        </w:rPr>
        <w:t>dot</w:t>
      </w:r>
      <w:proofErr w:type="spellEnd"/>
      <w:r w:rsidRPr="00951C17">
        <w:rPr>
          <w:rFonts w:ascii="Arial" w:eastAsia="Calibri" w:hAnsi="Arial" w:cs="Arial"/>
          <w:sz w:val="20"/>
          <w:szCs w:val="22"/>
          <w:lang w:eastAsia="en-US"/>
        </w:rPr>
        <w:t>)de</w:t>
      </w:r>
    </w:p>
    <w:p w:rsidR="00951C17" w:rsidRPr="00951C17" w:rsidRDefault="00951C17" w:rsidP="00951C17">
      <w:pPr>
        <w:spacing w:after="200" w:line="276" w:lineRule="auto"/>
        <w:rPr>
          <w:rFonts w:ascii="Arial" w:eastAsia="Calibri" w:hAnsi="Arial" w:cs="Arial"/>
          <w:sz w:val="20"/>
          <w:szCs w:val="22"/>
          <w:lang w:eastAsia="en-US"/>
        </w:rPr>
      </w:pPr>
    </w:p>
    <w:p w:rsidR="00951C17" w:rsidRPr="00951C17" w:rsidRDefault="00951C17" w:rsidP="00951C17">
      <w:pPr>
        <w:spacing w:after="200" w:line="276" w:lineRule="auto"/>
        <w:rPr>
          <w:rFonts w:ascii="Arial" w:eastAsia="Calibri" w:hAnsi="Arial" w:cs="Arial"/>
          <w:sz w:val="20"/>
          <w:szCs w:val="22"/>
          <w:lang w:eastAsia="en-US"/>
        </w:rPr>
      </w:pPr>
      <w:r w:rsidRPr="00951C17">
        <w:rPr>
          <w:rFonts w:ascii="Arial" w:eastAsia="Calibri" w:hAnsi="Arial" w:cs="Arial"/>
          <w:sz w:val="20"/>
          <w:szCs w:val="22"/>
          <w:lang w:eastAsia="en-US"/>
        </w:rPr>
        <w:t>● ● ● ● ● ● ● ●</w:t>
      </w:r>
    </w:p>
    <w:p w:rsidR="00951C17" w:rsidRPr="00951C17" w:rsidRDefault="00951C17" w:rsidP="00951C17">
      <w:pPr>
        <w:spacing w:after="200" w:line="276" w:lineRule="auto"/>
        <w:rPr>
          <w:rFonts w:ascii="Arial" w:eastAsia="Calibri" w:hAnsi="Arial" w:cs="Arial"/>
          <w:sz w:val="20"/>
          <w:szCs w:val="22"/>
          <w:lang w:eastAsia="en-US"/>
        </w:rPr>
      </w:pPr>
      <w:r w:rsidRPr="00951C17">
        <w:rPr>
          <w:rFonts w:ascii="Arial" w:eastAsia="Calibri" w:hAnsi="Arial" w:cs="Arial"/>
          <w:sz w:val="20"/>
          <w:szCs w:val="22"/>
          <w:lang w:eastAsia="en-US"/>
        </w:rPr>
        <w:t>Wörter 650, Zeichen 4822</w:t>
      </w:r>
    </w:p>
    <w:p w:rsidR="00951C17" w:rsidRPr="00951C17" w:rsidRDefault="00951C17" w:rsidP="00951C17">
      <w:pPr>
        <w:spacing w:line="276" w:lineRule="auto"/>
        <w:rPr>
          <w:rFonts w:ascii="Arial" w:eastAsia="Calibri" w:hAnsi="Arial" w:cs="Arial"/>
          <w:sz w:val="20"/>
          <w:szCs w:val="22"/>
          <w:lang w:eastAsia="en-US"/>
        </w:rPr>
      </w:pPr>
      <w:r w:rsidRPr="00951C17">
        <w:rPr>
          <w:rFonts w:ascii="Arial" w:eastAsia="Calibri" w:hAnsi="Arial" w:cs="Arial"/>
          <w:sz w:val="20"/>
          <w:szCs w:val="22"/>
          <w:lang w:eastAsia="en-US"/>
        </w:rPr>
        <w:t>Pressekontakt:</w:t>
      </w:r>
    </w:p>
    <w:p w:rsidR="00951C17" w:rsidRPr="00951C17" w:rsidRDefault="00951C17" w:rsidP="00951C17">
      <w:pPr>
        <w:rPr>
          <w:rFonts w:ascii="Arial" w:eastAsia="Calibri" w:hAnsi="Arial" w:cs="Arial"/>
          <w:sz w:val="20"/>
          <w:szCs w:val="22"/>
          <w:lang w:eastAsia="en-US"/>
        </w:rPr>
      </w:pPr>
      <w:r w:rsidRPr="00951C17">
        <w:rPr>
          <w:rFonts w:ascii="Arial" w:eastAsia="Calibri" w:hAnsi="Arial" w:cs="Arial"/>
          <w:sz w:val="20"/>
          <w:szCs w:val="22"/>
          <w:lang w:eastAsia="en-US"/>
        </w:rPr>
        <w:t>Geschäftsführerin Dr. Sabine Schüller</w:t>
      </w:r>
    </w:p>
    <w:p w:rsidR="00951C17" w:rsidRPr="00951C17" w:rsidRDefault="00951C17" w:rsidP="00951C17">
      <w:pPr>
        <w:spacing w:line="276" w:lineRule="auto"/>
        <w:rPr>
          <w:rFonts w:ascii="Arial" w:eastAsia="Calibri" w:hAnsi="Arial" w:cs="Arial"/>
          <w:sz w:val="20"/>
          <w:szCs w:val="22"/>
          <w:lang w:eastAsia="en-US"/>
        </w:rPr>
      </w:pPr>
      <w:r w:rsidRPr="00951C17">
        <w:rPr>
          <w:rFonts w:ascii="Arial" w:eastAsia="Calibri" w:hAnsi="Arial" w:cs="Arial"/>
          <w:sz w:val="20"/>
          <w:szCs w:val="22"/>
          <w:lang w:eastAsia="en-US"/>
        </w:rPr>
        <w:t>Tel. 0228 / 31 82 96</w:t>
      </w:r>
      <w:hyperlink r:id="rId8" w:history="1"/>
    </w:p>
    <w:p w:rsidR="00951C17" w:rsidRPr="00951C17" w:rsidRDefault="00951C17" w:rsidP="00951C17">
      <w:pPr>
        <w:rPr>
          <w:rFonts w:ascii="Arial" w:eastAsia="Calibri" w:hAnsi="Arial" w:cs="Arial"/>
          <w:sz w:val="20"/>
          <w:szCs w:val="22"/>
          <w:lang w:eastAsia="en-US"/>
        </w:rPr>
      </w:pPr>
      <w:r w:rsidRPr="00951C17">
        <w:rPr>
          <w:rFonts w:ascii="Arial" w:eastAsia="Calibri" w:hAnsi="Arial" w:cs="Arial"/>
          <w:sz w:val="20"/>
          <w:szCs w:val="22"/>
          <w:lang w:eastAsia="en-US"/>
        </w:rPr>
        <w:t xml:space="preserve">E-Mail: bft@bft-online.de </w:t>
      </w:r>
    </w:p>
    <w:p w:rsidR="00951C17" w:rsidRPr="00951C17" w:rsidRDefault="00951C17" w:rsidP="00951C17">
      <w:pPr>
        <w:rPr>
          <w:rFonts w:ascii="Arial" w:eastAsia="Calibri" w:hAnsi="Arial" w:cs="Arial"/>
          <w:sz w:val="20"/>
          <w:szCs w:val="22"/>
          <w:lang w:eastAsia="en-US"/>
        </w:rPr>
      </w:pPr>
      <w:r w:rsidRPr="00951C17">
        <w:rPr>
          <w:rFonts w:ascii="Arial" w:eastAsia="Calibri" w:hAnsi="Arial" w:cs="Arial"/>
          <w:sz w:val="20"/>
          <w:szCs w:val="22"/>
          <w:lang w:eastAsia="en-US"/>
        </w:rPr>
        <w:t>http://www.bft-online.de</w:t>
      </w:r>
    </w:p>
    <w:p w:rsidR="00AC27D6" w:rsidRPr="005D5D7C" w:rsidRDefault="00AC27D6" w:rsidP="00AC27D6">
      <w:pPr>
        <w:jc w:val="both"/>
      </w:pPr>
    </w:p>
    <w:p w:rsidR="00AC27D6" w:rsidRPr="005D5D7C" w:rsidRDefault="00AC27D6" w:rsidP="00AC27D6">
      <w:pPr>
        <w:jc w:val="both"/>
      </w:pPr>
    </w:p>
    <w:p w:rsidR="008F1586" w:rsidRDefault="008F1586" w:rsidP="009C1E72"/>
    <w:p w:rsidR="00EB741E" w:rsidRDefault="00EB741E" w:rsidP="009C1E72"/>
    <w:p w:rsidR="00EB741E" w:rsidRDefault="00EB741E" w:rsidP="009C1E72"/>
    <w:p w:rsidR="00EB741E" w:rsidRDefault="00EB741E" w:rsidP="009C1E72"/>
    <w:p w:rsidR="00EB741E" w:rsidRDefault="00EB741E" w:rsidP="009C1E72"/>
    <w:p w:rsidR="00EB741E" w:rsidRPr="005D5D7C" w:rsidRDefault="00EB741E" w:rsidP="009C1E72"/>
    <w:sectPr w:rsidR="00EB741E" w:rsidRPr="005D5D7C" w:rsidSect="008F1586">
      <w:headerReference w:type="default" r:id="rId9"/>
      <w:headerReference w:type="first" r:id="rId10"/>
      <w:pgSz w:w="11906" w:h="16838"/>
      <w:pgMar w:top="1950" w:right="1418" w:bottom="1134" w:left="1418"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F9C" w:rsidRDefault="00D71F9C">
      <w:r>
        <w:separator/>
      </w:r>
    </w:p>
  </w:endnote>
  <w:endnote w:type="continuationSeparator" w:id="0">
    <w:p w:rsidR="00D71F9C" w:rsidRDefault="00D71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F9C" w:rsidRDefault="00D71F9C">
      <w:r>
        <w:separator/>
      </w:r>
    </w:p>
  </w:footnote>
  <w:footnote w:type="continuationSeparator" w:id="0">
    <w:p w:rsidR="00D71F9C" w:rsidRDefault="00D71F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3DD" w:rsidRDefault="00A646BD" w:rsidP="00AA30F3">
    <w:pPr>
      <w:pStyle w:val="Kopfzeile"/>
      <w:ind w:right="-1418"/>
      <w:jc w:val="right"/>
    </w:pPr>
    <w:r>
      <w:rPr>
        <w:noProof/>
      </w:rPr>
      <w:drawing>
        <wp:inline distT="0" distB="0" distL="0" distR="0">
          <wp:extent cx="1080770" cy="831215"/>
          <wp:effectExtent l="0" t="0" r="5080" b="6985"/>
          <wp:docPr id="1" name="Bild 1" descr="BFT_Sei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T_Seit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770" cy="83121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CDC" w:rsidRDefault="00A646BD" w:rsidP="0088484C">
    <w:pPr>
      <w:pStyle w:val="Kopfzeile"/>
      <w:ind w:left="-1418"/>
    </w:pPr>
    <w:r>
      <w:rPr>
        <w:noProof/>
      </w:rPr>
      <w:drawing>
        <wp:inline distT="0" distB="0" distL="0" distR="0">
          <wp:extent cx="1080770" cy="831215"/>
          <wp:effectExtent l="0" t="0" r="5080" b="6985"/>
          <wp:docPr id="2" name="Bild 2" descr="BFT_Sei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FT_Seit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770" cy="8312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F7923"/>
    <w:multiLevelType w:val="hybridMultilevel"/>
    <w:tmpl w:val="3A261CD4"/>
    <w:lvl w:ilvl="0" w:tplc="736EE17E">
      <w:start w:val="10"/>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34B70113"/>
    <w:multiLevelType w:val="hybridMultilevel"/>
    <w:tmpl w:val="C5E443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3E853BA"/>
    <w:multiLevelType w:val="hybridMultilevel"/>
    <w:tmpl w:val="ADF4D7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81"/>
  <w:displayHorizontalDrawingGridEvery w:val="2"/>
  <w:noPunctuationKerning/>
  <w:characterSpacingControl w:val="doNotCompress"/>
  <w:hdrShapeDefaults>
    <o:shapedefaults v:ext="edit" spidmax="5121">
      <o:colormru v:ext="edit" colors="#18821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2E1"/>
    <w:rsid w:val="000103DD"/>
    <w:rsid w:val="000405CF"/>
    <w:rsid w:val="00090B36"/>
    <w:rsid w:val="00091841"/>
    <w:rsid w:val="00097527"/>
    <w:rsid w:val="000F67CD"/>
    <w:rsid w:val="001020F0"/>
    <w:rsid w:val="001327E5"/>
    <w:rsid w:val="0015556A"/>
    <w:rsid w:val="001B539B"/>
    <w:rsid w:val="001E3506"/>
    <w:rsid w:val="002000DB"/>
    <w:rsid w:val="00235303"/>
    <w:rsid w:val="0033423D"/>
    <w:rsid w:val="00400B75"/>
    <w:rsid w:val="004C2E8B"/>
    <w:rsid w:val="004F25EB"/>
    <w:rsid w:val="005B47C1"/>
    <w:rsid w:val="005D5D7C"/>
    <w:rsid w:val="00613088"/>
    <w:rsid w:val="0062260B"/>
    <w:rsid w:val="006D385D"/>
    <w:rsid w:val="00721A5B"/>
    <w:rsid w:val="00742CDC"/>
    <w:rsid w:val="007432CF"/>
    <w:rsid w:val="007D757F"/>
    <w:rsid w:val="0085462A"/>
    <w:rsid w:val="008679F0"/>
    <w:rsid w:val="0088484C"/>
    <w:rsid w:val="008C3EC4"/>
    <w:rsid w:val="008F1586"/>
    <w:rsid w:val="00951C17"/>
    <w:rsid w:val="009C1E72"/>
    <w:rsid w:val="009D4D6C"/>
    <w:rsid w:val="009F7E65"/>
    <w:rsid w:val="00A062E1"/>
    <w:rsid w:val="00A07E5A"/>
    <w:rsid w:val="00A646BD"/>
    <w:rsid w:val="00AA30F3"/>
    <w:rsid w:val="00AC27D6"/>
    <w:rsid w:val="00B645F4"/>
    <w:rsid w:val="00BF538F"/>
    <w:rsid w:val="00C85F86"/>
    <w:rsid w:val="00CA78BF"/>
    <w:rsid w:val="00D2178E"/>
    <w:rsid w:val="00D71F9C"/>
    <w:rsid w:val="00DE6A9D"/>
    <w:rsid w:val="00E0239C"/>
    <w:rsid w:val="00E4059C"/>
    <w:rsid w:val="00E42725"/>
    <w:rsid w:val="00E945C3"/>
    <w:rsid w:val="00EB2685"/>
    <w:rsid w:val="00EB741E"/>
    <w:rsid w:val="00EE5FC5"/>
    <w:rsid w:val="00EF7332"/>
    <w:rsid w:val="00F146FA"/>
    <w:rsid w:val="00F25D1E"/>
    <w:rsid w:val="00F4498F"/>
    <w:rsid w:val="00F679E1"/>
    <w:rsid w:val="00FC4E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ru v:ext="edit" colors="#18821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C27D6"/>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2178E"/>
    <w:pPr>
      <w:tabs>
        <w:tab w:val="center" w:pos="4536"/>
        <w:tab w:val="right" w:pos="9072"/>
      </w:tabs>
    </w:pPr>
  </w:style>
  <w:style w:type="paragraph" w:styleId="Fuzeile">
    <w:name w:val="footer"/>
    <w:basedOn w:val="Standard"/>
    <w:rsid w:val="00D2178E"/>
    <w:pPr>
      <w:tabs>
        <w:tab w:val="center" w:pos="4536"/>
        <w:tab w:val="right" w:pos="9072"/>
      </w:tabs>
    </w:pPr>
  </w:style>
  <w:style w:type="character" w:styleId="Hyperlink">
    <w:name w:val="Hyperlink"/>
    <w:rsid w:val="000103DD"/>
    <w:rPr>
      <w:color w:val="0000FF"/>
      <w:u w:val="single"/>
    </w:rPr>
  </w:style>
  <w:style w:type="paragraph" w:styleId="Sprechblasentext">
    <w:name w:val="Balloon Text"/>
    <w:basedOn w:val="Standard"/>
    <w:semiHidden/>
    <w:rsid w:val="00F679E1"/>
    <w:rPr>
      <w:rFonts w:ascii="Tahoma" w:hAnsi="Tahoma" w:cs="Tahoma"/>
      <w:sz w:val="16"/>
      <w:szCs w:val="16"/>
    </w:rPr>
  </w:style>
  <w:style w:type="paragraph" w:styleId="Listenabsatz">
    <w:name w:val="List Paragraph"/>
    <w:basedOn w:val="Standard"/>
    <w:uiPriority w:val="34"/>
    <w:qFormat/>
    <w:rsid w:val="00951C17"/>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C27D6"/>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2178E"/>
    <w:pPr>
      <w:tabs>
        <w:tab w:val="center" w:pos="4536"/>
        <w:tab w:val="right" w:pos="9072"/>
      </w:tabs>
    </w:pPr>
  </w:style>
  <w:style w:type="paragraph" w:styleId="Fuzeile">
    <w:name w:val="footer"/>
    <w:basedOn w:val="Standard"/>
    <w:rsid w:val="00D2178E"/>
    <w:pPr>
      <w:tabs>
        <w:tab w:val="center" w:pos="4536"/>
        <w:tab w:val="right" w:pos="9072"/>
      </w:tabs>
    </w:pPr>
  </w:style>
  <w:style w:type="character" w:styleId="Hyperlink">
    <w:name w:val="Hyperlink"/>
    <w:rsid w:val="000103DD"/>
    <w:rPr>
      <w:color w:val="0000FF"/>
      <w:u w:val="single"/>
    </w:rPr>
  </w:style>
  <w:style w:type="paragraph" w:styleId="Sprechblasentext">
    <w:name w:val="Balloon Text"/>
    <w:basedOn w:val="Standard"/>
    <w:semiHidden/>
    <w:rsid w:val="00F679E1"/>
    <w:rPr>
      <w:rFonts w:ascii="Tahoma" w:hAnsi="Tahoma" w:cs="Tahoma"/>
      <w:sz w:val="16"/>
      <w:szCs w:val="16"/>
    </w:rPr>
  </w:style>
  <w:style w:type="paragraph" w:styleId="Listenabsatz">
    <w:name w:val="List Paragraph"/>
    <w:basedOn w:val="Standard"/>
    <w:uiPriority w:val="34"/>
    <w:qFormat/>
    <w:rsid w:val="00951C1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l\Lokale%20Einstellungen\Temporary%20Internet%20Files\Content.Outlook\Q44HR5MF\bft-elektr-briefkopfvorlage-seite-2.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bft-elektr-briefkopfvorlage-seite-2</Template>
  <TotalTime>0</TotalTime>
  <Pages>3</Pages>
  <Words>700</Words>
  <Characters>4532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nicht eingegeben</Company>
  <LinksUpToDate>false</LinksUpToDate>
  <CharactersWithSpaces>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Bundesverband für Tiergesundheit e.V</dc:creator>
  <cp:lastModifiedBy>B. Mikulic</cp:lastModifiedBy>
  <cp:revision>3</cp:revision>
  <cp:lastPrinted>2003-03-22T09:36:00Z</cp:lastPrinted>
  <dcterms:created xsi:type="dcterms:W3CDTF">2017-07-06T09:59:00Z</dcterms:created>
  <dcterms:modified xsi:type="dcterms:W3CDTF">2017-07-07T09:38:00Z</dcterms:modified>
</cp:coreProperties>
</file>