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E6" w:rsidRPr="00F1106B" w:rsidRDefault="004659E6" w:rsidP="00F1106B">
      <w:pPr>
        <w:spacing w:after="120" w:line="240" w:lineRule="auto"/>
        <w:rPr>
          <w:rFonts w:ascii="HelveticaNeueLT Pro 55 Roman" w:hAnsi="HelveticaNeueLT Pro 55 Roman"/>
          <w:b/>
          <w:color w:val="00807D"/>
          <w:sz w:val="28"/>
          <w:szCs w:val="28"/>
        </w:rPr>
      </w:pPr>
      <w:r w:rsidRPr="00F1106B">
        <w:rPr>
          <w:rFonts w:ascii="HelveticaNeueLT Pro 55 Roman" w:hAnsi="HelveticaNeueLT Pro 55 Roman"/>
          <w:b/>
          <w:color w:val="00807D"/>
          <w:sz w:val="28"/>
          <w:szCs w:val="28"/>
        </w:rPr>
        <w:t>Krankheitsvorbeuge durch Impfung</w:t>
      </w:r>
    </w:p>
    <w:p w:rsidR="004659E6" w:rsidRPr="00F1106B" w:rsidRDefault="004659E6" w:rsidP="00F1106B">
      <w:pPr>
        <w:spacing w:line="240" w:lineRule="auto"/>
        <w:rPr>
          <w:rFonts w:ascii="HelveticaNeueLT Pro 55 Roman" w:hAnsi="HelveticaNeueLT Pro 55 Roman"/>
          <w:b/>
          <w:color w:val="00807D"/>
        </w:rPr>
      </w:pPr>
      <w:r w:rsidRPr="00F1106B">
        <w:rPr>
          <w:rFonts w:ascii="HelveticaNeueLT Pro 55 Roman" w:hAnsi="HelveticaNeueLT Pro 55 Roman"/>
          <w:b/>
          <w:color w:val="00807D"/>
          <w:sz w:val="28"/>
          <w:szCs w:val="28"/>
        </w:rPr>
        <w:t>Empfehlungen zur Verbesserung der Akzeptanz und Anwendung der Impfung</w:t>
      </w:r>
      <w:r w:rsidRPr="00F1106B">
        <w:rPr>
          <w:rFonts w:ascii="HelveticaNeueLT Pro 55 Roman" w:hAnsi="HelveticaNeueLT Pro 55 Roman"/>
          <w:b/>
          <w:color w:val="00807D"/>
        </w:rPr>
        <w:t xml:space="preserve"> </w:t>
      </w:r>
    </w:p>
    <w:p w:rsidR="004659E6" w:rsidRPr="00F1106B" w:rsidRDefault="004659E6" w:rsidP="004659E6">
      <w:pPr>
        <w:rPr>
          <w:rFonts w:ascii="HelveticaNeueLT Pro 55 Roman" w:hAnsi="HelveticaNeueLT Pro 55 Roman"/>
        </w:rPr>
      </w:pPr>
      <w:r w:rsidRPr="00F1106B">
        <w:rPr>
          <w:rFonts w:ascii="HelveticaNeueLT Pro 55 Roman" w:hAnsi="HelveticaNeueLT Pro 55 Roman"/>
        </w:rPr>
        <w:t xml:space="preserve">HealthforAnimals, der Weltverband der Tiergesundheitsindustrie, hat einen Bericht mit Empfehlungen zur Überwindung bestehender Hindernisse für eine verbesserte Impfprophylaxe publiziert. </w:t>
      </w:r>
    </w:p>
    <w:p w:rsidR="004659E6" w:rsidRPr="00F1106B" w:rsidRDefault="004659E6" w:rsidP="004659E6">
      <w:pPr>
        <w:rPr>
          <w:rFonts w:ascii="HelveticaNeueLT Pro 55 Roman" w:hAnsi="HelveticaNeueLT Pro 55 Roman"/>
        </w:rPr>
      </w:pPr>
      <w:r w:rsidRPr="00F1106B">
        <w:rPr>
          <w:rFonts w:ascii="HelveticaNeueLT Pro 55 Roman" w:hAnsi="HelveticaNeueLT Pro 55 Roman"/>
        </w:rPr>
        <w:t>In diesem Bericht werden die sechs wichtigsten Barrieren erläutert, die einer verstärkten Anwendung der Impfung weltweit im Weg stehen. Identifiziert wurden in einer Studie wirtschaftliche, politische, technisch-wissenschaftliche, regulatorische, soziale und Wahrnehmungsbarrieren sowie Barrieren für die aktuelle Anwendung im Feld.</w:t>
      </w:r>
    </w:p>
    <w:p w:rsidR="004659E6" w:rsidRPr="00F1106B" w:rsidRDefault="004659E6" w:rsidP="004659E6">
      <w:pPr>
        <w:rPr>
          <w:rFonts w:ascii="HelveticaNeueLT Pro 55 Roman" w:hAnsi="HelveticaNeueLT Pro 55 Roman"/>
        </w:rPr>
      </w:pPr>
      <w:r w:rsidRPr="00F1106B">
        <w:rPr>
          <w:rFonts w:ascii="HelveticaNeueLT Pro 55 Roman" w:hAnsi="HelveticaNeueLT Pro 55 Roman"/>
        </w:rPr>
        <w:t xml:space="preserve">Der Bericht analysiert die zugrunde liegenden Probleme je Barriere (z. B. Finanzen, Handel, Herstellung) und bietet 80 klare, umsetzbare Empfehlungen, um diese anzugehen. Der ausführliche Bericht, der mehr als 50 Seiten umfasst, stützt sich auf Dutzende von Aussagen und über 20 Interviews mit Experten des öffentlichen und privaten Sektors. </w:t>
      </w:r>
    </w:p>
    <w:p w:rsidR="004659E6" w:rsidRPr="00F1106B" w:rsidRDefault="004659E6" w:rsidP="004659E6">
      <w:pPr>
        <w:rPr>
          <w:rFonts w:ascii="HelveticaNeueLT Pro 55 Roman" w:hAnsi="HelveticaNeueLT Pro 55 Roman"/>
        </w:rPr>
      </w:pPr>
      <w:r w:rsidRPr="00F1106B">
        <w:rPr>
          <w:rFonts w:ascii="HelveticaNeueLT Pro 55 Roman" w:hAnsi="HelveticaNeueLT Pro 55 Roman"/>
        </w:rPr>
        <w:t>Die identifizierten Ideen und Methoden sollen zu</w:t>
      </w:r>
      <w:r w:rsidR="00AB1D8B">
        <w:rPr>
          <w:rFonts w:ascii="HelveticaNeueLT Pro 55 Roman" w:hAnsi="HelveticaNeueLT Pro 55 Roman"/>
        </w:rPr>
        <w:t>r</w:t>
      </w:r>
      <w:bookmarkStart w:id="0" w:name="_GoBack"/>
      <w:bookmarkEnd w:id="0"/>
      <w:r w:rsidRPr="00F1106B">
        <w:rPr>
          <w:rFonts w:ascii="HelveticaNeueLT Pro 55 Roman" w:hAnsi="HelveticaNeueLT Pro 55 Roman"/>
        </w:rPr>
        <w:t xml:space="preserve"> Verbesserung der Akzeptanz und Anwendung der Impfung zur Vorbeugung von Krankheiten bei Tieren beitragen.</w:t>
      </w:r>
    </w:p>
    <w:p w:rsidR="004659E6" w:rsidRPr="00F1106B" w:rsidRDefault="004659E6" w:rsidP="004659E6">
      <w:pPr>
        <w:rPr>
          <w:rFonts w:ascii="HelveticaNeueLT Pro 55 Roman" w:hAnsi="HelveticaNeueLT Pro 55 Roman"/>
        </w:rPr>
      </w:pPr>
      <w:r w:rsidRPr="00F1106B">
        <w:rPr>
          <w:rFonts w:ascii="HelveticaNeueLT Pro 55 Roman" w:hAnsi="HelveticaNeueLT Pro 55 Roman"/>
        </w:rPr>
        <w:t xml:space="preserve">Der Bericht ist online verfügbar unter: </w:t>
      </w:r>
      <w:hyperlink r:id="rId7" w:history="1">
        <w:r w:rsidRPr="00F1106B">
          <w:rPr>
            <w:rStyle w:val="Hyperlink"/>
            <w:rFonts w:ascii="HelveticaNeueLT Pro 55 Roman" w:hAnsi="HelveticaNeueLT Pro 55 Roman"/>
          </w:rPr>
          <w:t>http://www.healthforanimals.org/VaccinationReport</w:t>
        </w:r>
      </w:hyperlink>
      <w:r w:rsidRPr="00F1106B">
        <w:rPr>
          <w:rFonts w:ascii="HelveticaNeueLT Pro 55 Roman" w:hAnsi="HelveticaNeueLT Pro 55 Roman"/>
        </w:rPr>
        <w:t xml:space="preserve"> </w:t>
      </w:r>
    </w:p>
    <w:p w:rsidR="00F1106B" w:rsidRPr="00F1106B" w:rsidRDefault="00F1106B" w:rsidP="004659E6">
      <w:pPr>
        <w:rPr>
          <w:rFonts w:ascii="HelveticaNeueLT Pro 55 Roman" w:hAnsi="HelveticaNeueLT Pro 55 Roman"/>
          <w:sz w:val="24"/>
          <w:szCs w:val="24"/>
        </w:rPr>
      </w:pPr>
    </w:p>
    <w:p w:rsidR="00F1106B" w:rsidRPr="00F1106B" w:rsidRDefault="00F1106B" w:rsidP="00F1106B">
      <w:pPr>
        <w:rPr>
          <w:rFonts w:ascii="HelveticaNeueLT Pro 55 Roman" w:hAnsi="HelveticaNeueLT Pro 55 Roman"/>
          <w:sz w:val="20"/>
          <w:szCs w:val="20"/>
        </w:rPr>
      </w:pPr>
      <w:r w:rsidRPr="00F1106B">
        <w:rPr>
          <w:rFonts w:ascii="HelveticaNeueLT Pro 55 Roman" w:hAnsi="HelveticaNeueLT Pro 55 Roman"/>
          <w:sz w:val="20"/>
          <w:szCs w:val="20"/>
        </w:rPr>
        <w:t>Hinweise für die Redaktion</w:t>
      </w:r>
    </w:p>
    <w:p w:rsidR="00F1106B" w:rsidRPr="00F1106B" w:rsidRDefault="00F1106B" w:rsidP="00F1106B">
      <w:pPr>
        <w:rPr>
          <w:rFonts w:ascii="HelveticaNeueLT Pro 55 Roman" w:hAnsi="HelveticaNeueLT Pro 55 Roman"/>
          <w:sz w:val="20"/>
          <w:szCs w:val="20"/>
        </w:rPr>
      </w:pPr>
      <w:r w:rsidRPr="00F1106B">
        <w:rPr>
          <w:rFonts w:ascii="HelveticaNeueLT Pro 55 Roman" w:hAnsi="HelveticaNeueLT Pro 55 Roman"/>
          <w:sz w:val="20"/>
          <w:szCs w:val="20"/>
        </w:rPr>
        <w:t>Der Bundesverband für Tiergesundheit e.V. (BfT) vertritt die führenden Hersteller von Tierarzneimitteln (Pharmazeutika und Biologika), Diagnostika und Futterzusa</w:t>
      </w:r>
      <w:r w:rsidR="00AB1D8B">
        <w:rPr>
          <w:rFonts w:ascii="HelveticaNeueLT Pro 55 Roman" w:hAnsi="HelveticaNeueLT Pro 55 Roman"/>
          <w:sz w:val="20"/>
          <w:szCs w:val="20"/>
        </w:rPr>
        <w:t>tzstoffen in Deutschland. Die 23</w:t>
      </w:r>
      <w:r w:rsidRPr="00F1106B">
        <w:rPr>
          <w:rFonts w:ascii="HelveticaNeueLT Pro 55 Roman" w:hAnsi="HelveticaNeueLT Pro 55 Roman"/>
          <w:sz w:val="20"/>
          <w:szCs w:val="20"/>
        </w:rPr>
        <w:t xml:space="preserve">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F1106B" w:rsidRPr="00F1106B" w:rsidRDefault="00F1106B" w:rsidP="00F1106B">
      <w:pPr>
        <w:rPr>
          <w:rFonts w:ascii="HelveticaNeueLT Pro 55 Roman" w:hAnsi="HelveticaNeueLT Pro 55 Roman"/>
          <w:sz w:val="20"/>
          <w:szCs w:val="20"/>
        </w:rPr>
      </w:pPr>
    </w:p>
    <w:p w:rsidR="00F1106B" w:rsidRPr="00F1106B" w:rsidRDefault="00F1106B" w:rsidP="00F1106B">
      <w:pPr>
        <w:rPr>
          <w:rFonts w:ascii="HelveticaNeueLT Pro 55 Roman" w:hAnsi="HelveticaNeueLT Pro 55 Roman"/>
          <w:sz w:val="20"/>
          <w:szCs w:val="20"/>
        </w:rPr>
      </w:pPr>
      <w:r w:rsidRPr="00F1106B">
        <w:rPr>
          <w:rFonts w:ascii="HelveticaNeueLT Pro 55 Roman" w:hAnsi="HelveticaNeueLT Pro 55 Roman"/>
          <w:sz w:val="20"/>
          <w:szCs w:val="20"/>
        </w:rPr>
        <w:t xml:space="preserve">HealthforAnimals ist der Verband, der die Tierarzneimittelindustrie auf globaler Ebene vertritt. Zu seinen Mitgliedern zählen die weltweit größten Tiergesundheitsunternehmen sowie nationale Verbände in Industrie- und Entwicklungsländern auf fünf Kontinenten. </w:t>
      </w:r>
      <w:hyperlink r:id="rId8" w:history="1">
        <w:r w:rsidRPr="00F1106B">
          <w:rPr>
            <w:rStyle w:val="Hyperlink"/>
            <w:rFonts w:ascii="HelveticaNeueLT Pro 55 Roman" w:hAnsi="HelveticaNeueLT Pro 55 Roman"/>
            <w:sz w:val="20"/>
            <w:szCs w:val="20"/>
          </w:rPr>
          <w:t>www.healthforanimals.org</w:t>
        </w:r>
      </w:hyperlink>
      <w:r w:rsidRPr="00F1106B">
        <w:rPr>
          <w:rFonts w:ascii="HelveticaNeueLT Pro 55 Roman" w:hAnsi="HelveticaNeueLT Pro 55 Roman"/>
          <w:sz w:val="20"/>
          <w:szCs w:val="20"/>
        </w:rPr>
        <w:t xml:space="preserve">  </w:t>
      </w:r>
    </w:p>
    <w:p w:rsidR="00F1106B" w:rsidRPr="00F1106B" w:rsidRDefault="00F1106B" w:rsidP="00F1106B">
      <w:pPr>
        <w:rPr>
          <w:rFonts w:ascii="HelveticaNeueLT Pro 55 Roman" w:hAnsi="HelveticaNeueLT Pro 55 Roman"/>
          <w:sz w:val="20"/>
          <w:szCs w:val="20"/>
        </w:rPr>
      </w:pPr>
      <w:r w:rsidRPr="00F1106B">
        <w:rPr>
          <w:rFonts w:ascii="Arial" w:hAnsi="Arial" w:cs="Arial"/>
          <w:sz w:val="20"/>
          <w:szCs w:val="20"/>
        </w:rPr>
        <w:t>●</w:t>
      </w:r>
      <w:r w:rsidRPr="00F1106B">
        <w:rPr>
          <w:rFonts w:ascii="HelveticaNeueLT Pro 55 Roman" w:hAnsi="HelveticaNeueLT Pro 55 Roman"/>
          <w:sz w:val="20"/>
          <w:szCs w:val="20"/>
        </w:rPr>
        <w:t xml:space="preserve"> </w:t>
      </w:r>
      <w:r w:rsidRPr="00F1106B">
        <w:rPr>
          <w:rFonts w:ascii="Arial" w:hAnsi="Arial" w:cs="Arial"/>
          <w:sz w:val="20"/>
          <w:szCs w:val="20"/>
        </w:rPr>
        <w:t>●</w:t>
      </w:r>
      <w:r w:rsidRPr="00F1106B">
        <w:rPr>
          <w:rFonts w:ascii="HelveticaNeueLT Pro 55 Roman" w:hAnsi="HelveticaNeueLT Pro 55 Roman"/>
          <w:sz w:val="20"/>
          <w:szCs w:val="20"/>
        </w:rPr>
        <w:t xml:space="preserve"> </w:t>
      </w:r>
      <w:r w:rsidRPr="00F1106B">
        <w:rPr>
          <w:rFonts w:ascii="Arial" w:hAnsi="Arial" w:cs="Arial"/>
          <w:sz w:val="20"/>
          <w:szCs w:val="20"/>
        </w:rPr>
        <w:t>●</w:t>
      </w:r>
      <w:r w:rsidRPr="00F1106B">
        <w:rPr>
          <w:rFonts w:ascii="HelveticaNeueLT Pro 55 Roman" w:hAnsi="HelveticaNeueLT Pro 55 Roman"/>
          <w:sz w:val="20"/>
          <w:szCs w:val="20"/>
        </w:rPr>
        <w:t xml:space="preserve"> </w:t>
      </w:r>
      <w:r w:rsidRPr="00F1106B">
        <w:rPr>
          <w:rFonts w:ascii="Arial" w:hAnsi="Arial" w:cs="Arial"/>
          <w:sz w:val="20"/>
          <w:szCs w:val="20"/>
        </w:rPr>
        <w:t>●</w:t>
      </w:r>
      <w:r w:rsidRPr="00F1106B">
        <w:rPr>
          <w:rFonts w:ascii="HelveticaNeueLT Pro 55 Roman" w:hAnsi="HelveticaNeueLT Pro 55 Roman"/>
          <w:sz w:val="20"/>
          <w:szCs w:val="20"/>
        </w:rPr>
        <w:t xml:space="preserve"> </w:t>
      </w:r>
      <w:r w:rsidRPr="00F1106B">
        <w:rPr>
          <w:rFonts w:ascii="Arial" w:hAnsi="Arial" w:cs="Arial"/>
          <w:sz w:val="20"/>
          <w:szCs w:val="20"/>
        </w:rPr>
        <w:t>●</w:t>
      </w:r>
      <w:r w:rsidRPr="00F1106B">
        <w:rPr>
          <w:rFonts w:ascii="HelveticaNeueLT Pro 55 Roman" w:hAnsi="HelveticaNeueLT Pro 55 Roman"/>
          <w:sz w:val="20"/>
          <w:szCs w:val="20"/>
        </w:rPr>
        <w:t xml:space="preserve"> </w:t>
      </w:r>
      <w:r w:rsidRPr="00F1106B">
        <w:rPr>
          <w:rFonts w:ascii="Arial" w:hAnsi="Arial" w:cs="Arial"/>
          <w:sz w:val="20"/>
          <w:szCs w:val="20"/>
        </w:rPr>
        <w:t>●</w:t>
      </w:r>
      <w:r w:rsidRPr="00F1106B">
        <w:rPr>
          <w:rFonts w:ascii="HelveticaNeueLT Pro 55 Roman" w:hAnsi="HelveticaNeueLT Pro 55 Roman"/>
          <w:sz w:val="20"/>
          <w:szCs w:val="20"/>
        </w:rPr>
        <w:t xml:space="preserve"> </w:t>
      </w:r>
      <w:r w:rsidRPr="00F1106B">
        <w:rPr>
          <w:rFonts w:ascii="Arial" w:hAnsi="Arial" w:cs="Arial"/>
          <w:sz w:val="20"/>
          <w:szCs w:val="20"/>
        </w:rPr>
        <w:t>●</w:t>
      </w:r>
      <w:r w:rsidRPr="00F1106B">
        <w:rPr>
          <w:rFonts w:ascii="HelveticaNeueLT Pro 55 Roman" w:hAnsi="HelveticaNeueLT Pro 55 Roman"/>
          <w:sz w:val="20"/>
          <w:szCs w:val="20"/>
        </w:rPr>
        <w:t xml:space="preserve"> </w:t>
      </w:r>
      <w:r w:rsidRPr="00F1106B">
        <w:rPr>
          <w:rFonts w:ascii="Arial" w:hAnsi="Arial" w:cs="Arial"/>
          <w:sz w:val="20"/>
          <w:szCs w:val="20"/>
        </w:rPr>
        <w:t>●</w:t>
      </w:r>
    </w:p>
    <w:p w:rsidR="00F1106B" w:rsidRDefault="00F1106B" w:rsidP="00F1106B">
      <w:pPr>
        <w:spacing w:line="240" w:lineRule="auto"/>
        <w:rPr>
          <w:rFonts w:ascii="HelveticaNeueLT Pro 55 Roman" w:hAnsi="HelveticaNeueLT Pro 55 Roman"/>
          <w:sz w:val="20"/>
          <w:szCs w:val="20"/>
        </w:rPr>
      </w:pPr>
      <w:r w:rsidRPr="00F1106B">
        <w:rPr>
          <w:rFonts w:ascii="HelveticaNeueLT Pro 55 Roman" w:hAnsi="HelveticaNeueLT Pro 55 Roman"/>
          <w:sz w:val="20"/>
          <w:szCs w:val="20"/>
        </w:rPr>
        <w:t>147 Wörter – 1.063 Zeichen</w:t>
      </w:r>
    </w:p>
    <w:p w:rsidR="00F1106B" w:rsidRPr="00F1106B" w:rsidRDefault="00F1106B" w:rsidP="00F1106B">
      <w:pPr>
        <w:spacing w:line="240" w:lineRule="auto"/>
        <w:rPr>
          <w:rFonts w:ascii="HelveticaNeueLT Pro 55 Roman" w:hAnsi="HelveticaNeueLT Pro 55 Roman"/>
          <w:sz w:val="20"/>
          <w:szCs w:val="20"/>
        </w:rPr>
      </w:pPr>
    </w:p>
    <w:p w:rsidR="00F1106B" w:rsidRPr="00F1106B" w:rsidRDefault="00F1106B" w:rsidP="00F1106B">
      <w:pPr>
        <w:rPr>
          <w:rFonts w:ascii="HelveticaNeueLT Pro 55 Roman" w:hAnsi="HelveticaNeueLT Pro 55 Roman"/>
          <w:sz w:val="20"/>
          <w:szCs w:val="20"/>
        </w:rPr>
      </w:pPr>
      <w:r w:rsidRPr="00F1106B">
        <w:rPr>
          <w:rFonts w:ascii="HelveticaNeueLT Pro 55 Roman" w:hAnsi="HelveticaNeueLT Pro 55 Roman"/>
          <w:sz w:val="20"/>
          <w:szCs w:val="20"/>
        </w:rPr>
        <w:t>Weitere Informationen erteilt der Bundesverband für Tiergesundheit,</w:t>
      </w:r>
    </w:p>
    <w:p w:rsidR="00F1106B" w:rsidRPr="00F1106B" w:rsidRDefault="00F1106B" w:rsidP="00F1106B">
      <w:pPr>
        <w:rPr>
          <w:rFonts w:ascii="HelveticaNeueLT Pro 55 Roman" w:hAnsi="HelveticaNeueLT Pro 55 Roman"/>
          <w:sz w:val="20"/>
          <w:szCs w:val="20"/>
        </w:rPr>
      </w:pPr>
      <w:r w:rsidRPr="00F1106B">
        <w:rPr>
          <w:rFonts w:ascii="HelveticaNeueLT Pro 55 Roman" w:hAnsi="HelveticaNeueLT Pro 55 Roman"/>
          <w:sz w:val="20"/>
          <w:szCs w:val="20"/>
        </w:rPr>
        <w:t xml:space="preserve">Dr. Sabine Schüller, Schwertberger Str. 14, 53177 Bonn, </w:t>
      </w:r>
    </w:p>
    <w:p w:rsidR="00F1106B" w:rsidRPr="004659E6" w:rsidRDefault="00F1106B" w:rsidP="00F1106B">
      <w:pPr>
        <w:rPr>
          <w:rFonts w:ascii="HelveticaNeueLT Pro 55 Roman" w:hAnsi="HelveticaNeueLT Pro 55 Roman"/>
        </w:rPr>
      </w:pPr>
      <w:r w:rsidRPr="00F1106B">
        <w:rPr>
          <w:rFonts w:ascii="HelveticaNeueLT Pro 55 Roman" w:hAnsi="HelveticaNeueLT Pro 55 Roman"/>
        </w:rPr>
        <w:t xml:space="preserve">Tel. 0228 / 31 82 96, E-Mail bft@bft-online.de, </w:t>
      </w:r>
      <w:hyperlink r:id="rId9" w:history="1">
        <w:r w:rsidRPr="00124843">
          <w:rPr>
            <w:rStyle w:val="Hyperlink"/>
            <w:rFonts w:ascii="HelveticaNeueLT Pro 55 Roman" w:hAnsi="HelveticaNeueLT Pro 55 Roman"/>
          </w:rPr>
          <w:t>www.bft-online.de</w:t>
        </w:r>
      </w:hyperlink>
      <w:r>
        <w:rPr>
          <w:rFonts w:ascii="HelveticaNeueLT Pro 55 Roman" w:hAnsi="HelveticaNeueLT Pro 55 Roman"/>
        </w:rPr>
        <w:t xml:space="preserve"> </w:t>
      </w:r>
    </w:p>
    <w:sectPr w:rsidR="00F1106B" w:rsidRPr="004659E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6B" w:rsidRDefault="00F1106B" w:rsidP="00F1106B">
      <w:pPr>
        <w:spacing w:after="0" w:line="240" w:lineRule="auto"/>
      </w:pPr>
      <w:r>
        <w:separator/>
      </w:r>
    </w:p>
  </w:endnote>
  <w:endnote w:type="continuationSeparator" w:id="0">
    <w:p w:rsidR="00F1106B" w:rsidRDefault="00F1106B" w:rsidP="00F1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6B" w:rsidRDefault="00F1106B" w:rsidP="00F1106B">
      <w:pPr>
        <w:spacing w:after="0" w:line="240" w:lineRule="auto"/>
      </w:pPr>
      <w:r>
        <w:separator/>
      </w:r>
    </w:p>
  </w:footnote>
  <w:footnote w:type="continuationSeparator" w:id="0">
    <w:p w:rsidR="00F1106B" w:rsidRDefault="00F1106B" w:rsidP="00F11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6B" w:rsidRDefault="00F1106B" w:rsidP="00F1106B">
    <w:pPr>
      <w:pStyle w:val="Kopfzeile"/>
      <w:tabs>
        <w:tab w:val="clear" w:pos="9026"/>
        <w:tab w:val="right" w:pos="10206"/>
      </w:tabs>
    </w:pPr>
    <w:r>
      <w:tab/>
    </w:r>
    <w:r>
      <w:tab/>
    </w:r>
    <w:r>
      <w:rPr>
        <w:noProof/>
        <w:lang w:eastAsia="de-DE"/>
      </w:rPr>
      <w:drawing>
        <wp:inline distT="0" distB="0" distL="0" distR="0" wp14:anchorId="55E16896">
          <wp:extent cx="1054735"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464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E6"/>
    <w:rsid w:val="004659E6"/>
    <w:rsid w:val="00895D44"/>
    <w:rsid w:val="00AB1D8B"/>
    <w:rsid w:val="00F1106B"/>
    <w:rsid w:val="00F2562C"/>
    <w:rsid w:val="00F77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59E6"/>
    <w:rPr>
      <w:color w:val="0000FF" w:themeColor="hyperlink"/>
      <w:u w:val="single"/>
    </w:rPr>
  </w:style>
  <w:style w:type="paragraph" w:styleId="Kopfzeile">
    <w:name w:val="header"/>
    <w:basedOn w:val="Standard"/>
    <w:link w:val="KopfzeileZchn"/>
    <w:uiPriority w:val="99"/>
    <w:unhideWhenUsed/>
    <w:rsid w:val="00F1106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1106B"/>
  </w:style>
  <w:style w:type="paragraph" w:styleId="Fuzeile">
    <w:name w:val="footer"/>
    <w:basedOn w:val="Standard"/>
    <w:link w:val="FuzeileZchn"/>
    <w:uiPriority w:val="99"/>
    <w:unhideWhenUsed/>
    <w:rsid w:val="00F1106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1106B"/>
  </w:style>
  <w:style w:type="paragraph" w:styleId="Sprechblasentext">
    <w:name w:val="Balloon Text"/>
    <w:basedOn w:val="Standard"/>
    <w:link w:val="SprechblasentextZchn"/>
    <w:uiPriority w:val="99"/>
    <w:semiHidden/>
    <w:unhideWhenUsed/>
    <w:rsid w:val="00F110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59E6"/>
    <w:rPr>
      <w:color w:val="0000FF" w:themeColor="hyperlink"/>
      <w:u w:val="single"/>
    </w:rPr>
  </w:style>
  <w:style w:type="paragraph" w:styleId="Kopfzeile">
    <w:name w:val="header"/>
    <w:basedOn w:val="Standard"/>
    <w:link w:val="KopfzeileZchn"/>
    <w:uiPriority w:val="99"/>
    <w:unhideWhenUsed/>
    <w:rsid w:val="00F1106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1106B"/>
  </w:style>
  <w:style w:type="paragraph" w:styleId="Fuzeile">
    <w:name w:val="footer"/>
    <w:basedOn w:val="Standard"/>
    <w:link w:val="FuzeileZchn"/>
    <w:uiPriority w:val="99"/>
    <w:unhideWhenUsed/>
    <w:rsid w:val="00F1106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1106B"/>
  </w:style>
  <w:style w:type="paragraph" w:styleId="Sprechblasentext">
    <w:name w:val="Balloon Text"/>
    <w:basedOn w:val="Standard"/>
    <w:link w:val="SprechblasentextZchn"/>
    <w:uiPriority w:val="99"/>
    <w:semiHidden/>
    <w:unhideWhenUsed/>
    <w:rsid w:val="00F110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foranimals.org" TargetMode="External"/><Relationship Id="rId3" Type="http://schemas.openxmlformats.org/officeDocument/2006/relationships/settings" Target="settings.xml"/><Relationship Id="rId7" Type="http://schemas.openxmlformats.org/officeDocument/2006/relationships/hyperlink" Target="http://www.healthforanimals.org/VaccinationRepor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f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Schueller</dc:creator>
  <cp:lastModifiedBy>B. Mikulic</cp:lastModifiedBy>
  <cp:revision>3</cp:revision>
  <dcterms:created xsi:type="dcterms:W3CDTF">2019-09-16T14:29:00Z</dcterms:created>
  <dcterms:modified xsi:type="dcterms:W3CDTF">2019-09-17T06:55:00Z</dcterms:modified>
</cp:coreProperties>
</file>