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64" w:rsidRPr="008B53AB" w:rsidRDefault="00D75B64" w:rsidP="004F0D02">
      <w:pPr>
        <w:pStyle w:val="berschrift1"/>
        <w:spacing w:line="276" w:lineRule="auto"/>
        <w:rPr>
          <w:rFonts w:ascii="HelveticaNeueLT Pro 55 Roman" w:hAnsi="HelveticaNeueLT Pro 55 Roman"/>
          <w:sz w:val="28"/>
          <w:szCs w:val="28"/>
        </w:rPr>
      </w:pPr>
      <w:r w:rsidRPr="008B53AB">
        <w:rPr>
          <w:rFonts w:ascii="HelveticaNeueLT Pro 55 Roman" w:hAnsi="HelveticaNeueLT Pro 55 Roman"/>
          <w:sz w:val="28"/>
          <w:szCs w:val="28"/>
        </w:rPr>
        <w:t>AnimalhealthEurope</w:t>
      </w:r>
      <w:r w:rsidR="006B4BE4" w:rsidRPr="008B53AB">
        <w:rPr>
          <w:rFonts w:ascii="HelveticaNeueLT Pro 55 Roman" w:hAnsi="HelveticaNeueLT Pro 55 Roman"/>
          <w:sz w:val="28"/>
          <w:szCs w:val="28"/>
        </w:rPr>
        <w:t>:</w:t>
      </w:r>
      <w:r w:rsidR="008B53AB" w:rsidRPr="008B53AB">
        <w:rPr>
          <w:rFonts w:ascii="HelveticaNeueLT Pro 55 Roman" w:hAnsi="HelveticaNeueLT Pro 55 Roman"/>
          <w:sz w:val="28"/>
          <w:szCs w:val="28"/>
        </w:rPr>
        <w:t xml:space="preserve"> Diskussions</w:t>
      </w:r>
      <w:r w:rsidR="002D5D55" w:rsidRPr="008B53AB">
        <w:rPr>
          <w:rFonts w:ascii="HelveticaNeueLT Pro 55 Roman" w:hAnsi="HelveticaNeueLT Pro 55 Roman"/>
          <w:sz w:val="28"/>
          <w:szCs w:val="28"/>
        </w:rPr>
        <w:t xml:space="preserve">papier </w:t>
      </w:r>
      <w:r w:rsidR="00441239">
        <w:rPr>
          <w:rFonts w:ascii="HelveticaNeueLT Pro 55 Roman" w:hAnsi="HelveticaNeueLT Pro 55 Roman"/>
          <w:sz w:val="28"/>
          <w:szCs w:val="28"/>
        </w:rPr>
        <w:t xml:space="preserve">zur </w:t>
      </w:r>
      <w:r w:rsidRPr="008B53AB">
        <w:rPr>
          <w:rFonts w:ascii="HelveticaNeueLT Pro 55 Roman" w:hAnsi="HelveticaNeueLT Pro 55 Roman"/>
          <w:sz w:val="28"/>
          <w:szCs w:val="28"/>
        </w:rPr>
        <w:t xml:space="preserve"> Farm </w:t>
      </w:r>
      <w:proofErr w:type="spellStart"/>
      <w:r w:rsidRPr="008B53AB">
        <w:rPr>
          <w:rFonts w:ascii="HelveticaNeueLT Pro 55 Roman" w:hAnsi="HelveticaNeueLT Pro 55 Roman"/>
          <w:sz w:val="28"/>
          <w:szCs w:val="28"/>
        </w:rPr>
        <w:t>to</w:t>
      </w:r>
      <w:proofErr w:type="spellEnd"/>
      <w:r w:rsidRPr="008B53AB">
        <w:rPr>
          <w:rFonts w:ascii="HelveticaNeueLT Pro 55 Roman" w:hAnsi="HelveticaNeueLT Pro 55 Roman"/>
          <w:sz w:val="28"/>
          <w:szCs w:val="28"/>
        </w:rPr>
        <w:t xml:space="preserve"> </w:t>
      </w:r>
      <w:proofErr w:type="spellStart"/>
      <w:r w:rsidRPr="008B53AB">
        <w:rPr>
          <w:rFonts w:ascii="HelveticaNeueLT Pro 55 Roman" w:hAnsi="HelveticaNeueLT Pro 55 Roman"/>
          <w:sz w:val="28"/>
          <w:szCs w:val="28"/>
        </w:rPr>
        <w:t>Fork</w:t>
      </w:r>
      <w:proofErr w:type="spellEnd"/>
      <w:r w:rsidR="002D5D55" w:rsidRPr="008B53AB">
        <w:rPr>
          <w:rFonts w:ascii="HelveticaNeueLT Pro 55 Roman" w:hAnsi="HelveticaNeueLT Pro 55 Roman"/>
          <w:sz w:val="28"/>
          <w:szCs w:val="28"/>
        </w:rPr>
        <w:t>-Strategie</w:t>
      </w:r>
    </w:p>
    <w:p w:rsidR="00D75B64" w:rsidRPr="004F0D02" w:rsidRDefault="00D75B64" w:rsidP="004F0D02">
      <w:pPr>
        <w:spacing w:line="276" w:lineRule="auto"/>
        <w:rPr>
          <w:rFonts w:ascii="HelveticaNeueLT Pro 55 Roman" w:hAnsi="HelveticaNeueLT Pro 55 Roman"/>
          <w:highlight w:val="yellow"/>
        </w:rPr>
      </w:pPr>
    </w:p>
    <w:p w:rsidR="00441239" w:rsidRDefault="0086624F" w:rsidP="004F0D02">
      <w:pPr>
        <w:spacing w:line="276" w:lineRule="auto"/>
        <w:rPr>
          <w:rFonts w:ascii="HelveticaNeueLT Pro 55 Roman" w:hAnsi="HelveticaNeueLT Pro 55 Roman"/>
        </w:rPr>
      </w:pPr>
      <w:r>
        <w:rPr>
          <w:rFonts w:ascii="HelveticaNeueLT Pro 55 Roman" w:hAnsi="HelveticaNeueLT Pro 55 Roman"/>
        </w:rPr>
        <w:t xml:space="preserve">AnimalhealthEurope vertritt auf europäischer Ebene </w:t>
      </w:r>
      <w:r w:rsidRPr="0086624F">
        <w:rPr>
          <w:rFonts w:ascii="HelveticaNeueLT Pro 55 Roman" w:hAnsi="HelveticaNeueLT Pro 55 Roman"/>
        </w:rPr>
        <w:t>13 der führenden europäischen Hersteller von Tierarzneimitteln</w:t>
      </w:r>
      <w:r>
        <w:rPr>
          <w:rFonts w:ascii="HelveticaNeueLT Pro 55 Roman" w:hAnsi="HelveticaNeueLT Pro 55 Roman"/>
        </w:rPr>
        <w:t>,</w:t>
      </w:r>
      <w:r w:rsidRPr="0086624F">
        <w:rPr>
          <w:rFonts w:ascii="HelveticaNeueLT Pro 55 Roman" w:hAnsi="HelveticaNeueLT Pro 55 Roman"/>
        </w:rPr>
        <w:t xml:space="preserve"> Impfstoffen und anderen Tiergesundheitsprodukten </w:t>
      </w:r>
      <w:r>
        <w:rPr>
          <w:rFonts w:ascii="HelveticaNeueLT Pro 55 Roman" w:hAnsi="HelveticaNeueLT Pro 55 Roman"/>
        </w:rPr>
        <w:t>sowie</w:t>
      </w:r>
      <w:r w:rsidRPr="0086624F">
        <w:rPr>
          <w:rFonts w:ascii="HelveticaNeueLT Pro 55 Roman" w:hAnsi="HelveticaNeueLT Pro 55 Roman"/>
        </w:rPr>
        <w:t xml:space="preserve"> 19 nationale Verbände</w:t>
      </w:r>
      <w:r>
        <w:rPr>
          <w:rFonts w:ascii="HelveticaNeueLT Pro 55 Roman" w:hAnsi="HelveticaNeueLT Pro 55 Roman"/>
        </w:rPr>
        <w:t xml:space="preserve">, darunter auch den Bundesverband für Tiergesundheit (BfT). Als Verband der Tiergesundheitsbranche in Europa </w:t>
      </w:r>
      <w:proofErr w:type="gramStart"/>
      <w:r>
        <w:rPr>
          <w:rFonts w:ascii="HelveticaNeueLT Pro 55 Roman" w:hAnsi="HelveticaNeueLT Pro 55 Roman"/>
        </w:rPr>
        <w:t>möchte</w:t>
      </w:r>
      <w:proofErr w:type="gramEnd"/>
      <w:r>
        <w:rPr>
          <w:rFonts w:ascii="HelveticaNeueLT Pro 55 Roman" w:hAnsi="HelveticaNeueLT Pro 55 Roman"/>
        </w:rPr>
        <w:t xml:space="preserve"> wir nachfolgend </w:t>
      </w:r>
      <w:r w:rsidRPr="0086624F">
        <w:rPr>
          <w:rFonts w:ascii="HelveticaNeueLT Pro 55 Roman" w:hAnsi="HelveticaNeueLT Pro 55 Roman"/>
        </w:rPr>
        <w:t xml:space="preserve">einige Schlüsselaspekte zur Tiergesundheit mit Blick auf die "Farm </w:t>
      </w:r>
      <w:proofErr w:type="spellStart"/>
      <w:r w:rsidRPr="0086624F">
        <w:rPr>
          <w:rFonts w:ascii="HelveticaNeueLT Pro 55 Roman" w:hAnsi="HelveticaNeueLT Pro 55 Roman"/>
        </w:rPr>
        <w:t>to</w:t>
      </w:r>
      <w:proofErr w:type="spellEnd"/>
      <w:r w:rsidRPr="0086624F">
        <w:rPr>
          <w:rFonts w:ascii="HelveticaNeueLT Pro 55 Roman" w:hAnsi="HelveticaNeueLT Pro 55 Roman"/>
        </w:rPr>
        <w:t xml:space="preserve"> </w:t>
      </w:r>
      <w:proofErr w:type="spellStart"/>
      <w:r w:rsidRPr="0086624F">
        <w:rPr>
          <w:rFonts w:ascii="HelveticaNeueLT Pro 55 Roman" w:hAnsi="HelveticaNeueLT Pro 55 Roman"/>
        </w:rPr>
        <w:t>Fork</w:t>
      </w:r>
      <w:proofErr w:type="spellEnd"/>
      <w:r w:rsidRPr="0086624F">
        <w:rPr>
          <w:rFonts w:ascii="HelveticaNeueLT Pro 55 Roman" w:hAnsi="HelveticaNeueLT Pro 55 Roman"/>
        </w:rPr>
        <w:t>"-Strategie vorstellen.</w:t>
      </w:r>
    </w:p>
    <w:p w:rsidR="00441239" w:rsidRDefault="00441239" w:rsidP="004F0D02">
      <w:pPr>
        <w:spacing w:line="276" w:lineRule="auto"/>
        <w:rPr>
          <w:rFonts w:ascii="HelveticaNeueLT Pro 55 Roman" w:hAnsi="HelveticaNeueLT Pro 55 Roman"/>
        </w:rPr>
      </w:pPr>
    </w:p>
    <w:p w:rsidR="0060584B" w:rsidRPr="004F0D02" w:rsidRDefault="0060584B" w:rsidP="004F0D02">
      <w:pPr>
        <w:spacing w:line="276" w:lineRule="auto"/>
        <w:rPr>
          <w:rFonts w:ascii="HelveticaNeueLT Pro 55 Roman" w:hAnsi="HelveticaNeueLT Pro 55 Roman"/>
        </w:rPr>
      </w:pPr>
      <w:r w:rsidRPr="008B53AB">
        <w:rPr>
          <w:rFonts w:ascii="HelveticaNeueLT Pro 55 Roman" w:hAnsi="HelveticaNeueLT Pro 55 Roman"/>
        </w:rPr>
        <w:t>Wir unterstützen voll und ganz das Bestreben der Kommission, auf ein nachhaltiges Lebensmi</w:t>
      </w:r>
      <w:r w:rsidR="00DE2B05" w:rsidRPr="008B53AB">
        <w:rPr>
          <w:rFonts w:ascii="HelveticaNeueLT Pro 55 Roman" w:hAnsi="HelveticaNeueLT Pro 55 Roman"/>
        </w:rPr>
        <w:t xml:space="preserve">ttelsystem der EU </w:t>
      </w:r>
      <w:r w:rsidR="008B53AB" w:rsidRPr="008B53AB">
        <w:rPr>
          <w:rFonts w:ascii="HelveticaNeueLT Pro 55 Roman" w:hAnsi="HelveticaNeueLT Pro 55 Roman"/>
        </w:rPr>
        <w:t>hinzuarbeiten</w:t>
      </w:r>
      <w:r w:rsidR="008B53AB">
        <w:rPr>
          <w:rFonts w:ascii="HelveticaNeueLT Pro 55 Roman" w:hAnsi="HelveticaNeueLT Pro 55 Roman"/>
        </w:rPr>
        <w:t>,</w:t>
      </w:r>
      <w:r w:rsidR="008B53AB" w:rsidRPr="008B53AB">
        <w:rPr>
          <w:rFonts w:ascii="HelveticaNeueLT Pro 55 Roman" w:hAnsi="HelveticaNeueLT Pro 55 Roman"/>
        </w:rPr>
        <w:t xml:space="preserve"> </w:t>
      </w:r>
      <w:r w:rsidR="008B53AB">
        <w:rPr>
          <w:rFonts w:ascii="HelveticaNeueLT Pro 55 Roman" w:hAnsi="HelveticaNeueLT Pro 55 Roman"/>
        </w:rPr>
        <w:t xml:space="preserve">mit einem Wandel </w:t>
      </w:r>
      <w:r w:rsidRPr="008B53AB">
        <w:rPr>
          <w:rFonts w:ascii="HelveticaNeueLT Pro 55 Roman" w:hAnsi="HelveticaNeueLT Pro 55 Roman"/>
        </w:rPr>
        <w:t>auf</w:t>
      </w:r>
      <w:r w:rsidR="008B53AB">
        <w:rPr>
          <w:rFonts w:ascii="HelveticaNeueLT Pro 55 Roman" w:hAnsi="HelveticaNeueLT Pro 55 Roman"/>
        </w:rPr>
        <w:t xml:space="preserve"> der</w:t>
      </w:r>
      <w:r w:rsidRPr="008B53AB">
        <w:rPr>
          <w:rFonts w:ascii="HelveticaNeueLT Pro 55 Roman" w:hAnsi="HelveticaNeueLT Pro 55 Roman"/>
        </w:rPr>
        <w:t xml:space="preserve"> Grundlage innovativer und leistungsfähiger Technologien, wie z. B. digitale Techniken und Verfahren, </w:t>
      </w:r>
      <w:r w:rsidR="008B53AB">
        <w:rPr>
          <w:rFonts w:ascii="HelveticaNeueLT Pro 55 Roman" w:hAnsi="HelveticaNeueLT Pro 55 Roman"/>
        </w:rPr>
        <w:t xml:space="preserve">und </w:t>
      </w:r>
      <w:r w:rsidRPr="008B53AB">
        <w:rPr>
          <w:rFonts w:ascii="HelveticaNeueLT Pro 55 Roman" w:hAnsi="HelveticaNeueLT Pro 55 Roman"/>
        </w:rPr>
        <w:t xml:space="preserve">unter Wahrung der biologischen </w:t>
      </w:r>
      <w:r w:rsidR="00DE2B05" w:rsidRPr="008B53AB">
        <w:rPr>
          <w:rFonts w:ascii="HelveticaNeueLT Pro 55 Roman" w:hAnsi="HelveticaNeueLT Pro 55 Roman"/>
        </w:rPr>
        <w:t>Diversität</w:t>
      </w:r>
      <w:r w:rsidRPr="008B53AB">
        <w:rPr>
          <w:rFonts w:ascii="HelveticaNeueLT Pro 55 Roman" w:hAnsi="HelveticaNeueLT Pro 55 Roman"/>
        </w:rPr>
        <w:t>. Wir</w:t>
      </w:r>
      <w:r w:rsidRPr="004F0D02">
        <w:rPr>
          <w:rFonts w:ascii="HelveticaNeueLT Pro 55 Roman" w:hAnsi="HelveticaNeueLT Pro 55 Roman"/>
        </w:rPr>
        <w:t>, die Tie</w:t>
      </w:r>
      <w:r w:rsidR="00441239">
        <w:rPr>
          <w:rFonts w:ascii="HelveticaNeueLT Pro 55 Roman" w:hAnsi="HelveticaNeueLT Pro 55 Roman"/>
        </w:rPr>
        <w:t xml:space="preserve">rgesundheitsindustrie, möchten </w:t>
      </w:r>
      <w:r w:rsidRPr="004F0D02">
        <w:rPr>
          <w:rFonts w:ascii="HelveticaNeueLT Pro 55 Roman" w:hAnsi="HelveticaNeueLT Pro 55 Roman"/>
        </w:rPr>
        <w:t xml:space="preserve">eine Reihe von Lösungen und </w:t>
      </w:r>
      <w:r w:rsidR="00441239">
        <w:rPr>
          <w:rFonts w:ascii="HelveticaNeueLT Pro 55 Roman" w:hAnsi="HelveticaNeueLT Pro 55 Roman"/>
        </w:rPr>
        <w:t>Wege</w:t>
      </w:r>
      <w:r w:rsidRPr="004F0D02">
        <w:rPr>
          <w:rFonts w:ascii="HelveticaNeueLT Pro 55 Roman" w:hAnsi="HelveticaNeueLT Pro 55 Roman"/>
        </w:rPr>
        <w:t xml:space="preserve"> aufzeigen, die dazu beitragen können, die Ziele einer derartigen Veränderung zu erreichen. </w:t>
      </w:r>
      <w:r w:rsidR="00441239">
        <w:rPr>
          <w:rFonts w:ascii="HelveticaNeueLT Pro 55 Roman" w:hAnsi="HelveticaNeueLT Pro 55 Roman"/>
        </w:rPr>
        <w:t>Hierbei ist es nach unserer Auffassung nötig,</w:t>
      </w:r>
      <w:r w:rsidRPr="004F0D02">
        <w:rPr>
          <w:rFonts w:ascii="HelveticaNeueLT Pro 55 Roman" w:hAnsi="HelveticaNeueLT Pro 55 Roman"/>
        </w:rPr>
        <w:t xml:space="preserve"> Innovationen im Bereich der Tiergesundheit </w:t>
      </w:r>
      <w:r w:rsidR="00441239">
        <w:rPr>
          <w:rFonts w:ascii="HelveticaNeueLT Pro 55 Roman" w:hAnsi="HelveticaNeueLT Pro 55 Roman"/>
        </w:rPr>
        <w:t xml:space="preserve">zu </w:t>
      </w:r>
      <w:r w:rsidRPr="004F0D02">
        <w:rPr>
          <w:rFonts w:ascii="HelveticaNeueLT Pro 55 Roman" w:hAnsi="HelveticaNeueLT Pro 55 Roman"/>
        </w:rPr>
        <w:t>unterstütz</w:t>
      </w:r>
      <w:r w:rsidR="00441239">
        <w:rPr>
          <w:rFonts w:ascii="HelveticaNeueLT Pro 55 Roman" w:hAnsi="HelveticaNeueLT Pro 55 Roman"/>
        </w:rPr>
        <w:t>en</w:t>
      </w:r>
      <w:r w:rsidRPr="004F0D02">
        <w:rPr>
          <w:rFonts w:ascii="HelveticaNeueLT Pro 55 Roman" w:hAnsi="HelveticaNeueLT Pro 55 Roman"/>
        </w:rPr>
        <w:t>, um Landwirten und Tierärzten die notwendigen Mittel an die Hand zu geben, damit sie schnell auf Krankheitsausbrüche reagieren können.</w:t>
      </w:r>
    </w:p>
    <w:p w:rsidR="0069199F" w:rsidRPr="004F0D02" w:rsidRDefault="0069199F" w:rsidP="004F0D02">
      <w:pPr>
        <w:spacing w:line="276" w:lineRule="auto"/>
        <w:rPr>
          <w:rFonts w:ascii="HelveticaNeueLT Pro 55 Roman" w:hAnsi="HelveticaNeueLT Pro 55 Roman"/>
        </w:rPr>
      </w:pPr>
    </w:p>
    <w:p w:rsidR="00D75B64" w:rsidRPr="004F0D02" w:rsidRDefault="00D75B64" w:rsidP="004F0D02">
      <w:pPr>
        <w:spacing w:line="276" w:lineRule="auto"/>
        <w:rPr>
          <w:rFonts w:ascii="HelveticaNeueLT Pro 55 Roman" w:hAnsi="HelveticaNeueLT Pro 55 Roman"/>
          <w:b/>
          <w:color w:val="000000" w:themeColor="text1"/>
        </w:rPr>
      </w:pPr>
      <w:r w:rsidRPr="004F0D02">
        <w:rPr>
          <w:rFonts w:ascii="HelveticaNeueLT Pro 55 Roman" w:hAnsi="HelveticaNeueLT Pro 55 Roman"/>
          <w:b/>
          <w:color w:val="000000" w:themeColor="text1"/>
        </w:rPr>
        <w:t>Auf dem Weg zu einem nachhaltigen Lebensmittelsystem für die EU - die Rolle gesunder Tiere und des Tierarzneimittelsektors</w:t>
      </w:r>
    </w:p>
    <w:p w:rsidR="00D75B64" w:rsidRPr="004F0D02" w:rsidRDefault="00D75B64" w:rsidP="004F0D02">
      <w:pPr>
        <w:spacing w:line="276" w:lineRule="auto"/>
        <w:rPr>
          <w:rFonts w:ascii="HelveticaNeueLT Pro 55 Roman" w:hAnsi="HelveticaNeueLT Pro 55 Roman"/>
          <w:b/>
        </w:rPr>
      </w:pPr>
    </w:p>
    <w:p w:rsidR="00D75B64" w:rsidRPr="004F0D02" w:rsidRDefault="00876D41" w:rsidP="004F0D02">
      <w:pPr>
        <w:pStyle w:val="Listenabsatz"/>
        <w:numPr>
          <w:ilvl w:val="0"/>
          <w:numId w:val="13"/>
        </w:numPr>
        <w:spacing w:line="276" w:lineRule="auto"/>
        <w:rPr>
          <w:rFonts w:ascii="HelveticaNeueLT Pro 55 Roman" w:hAnsi="HelveticaNeueLT Pro 55 Roman"/>
        </w:rPr>
      </w:pPr>
      <w:hyperlink r:id="rId9" w:anchor="data/EI/visualize" w:history="1">
        <w:r w:rsidR="0069199F" w:rsidRPr="004F0D02">
          <w:rPr>
            <w:rStyle w:val="Hyperlink"/>
            <w:rFonts w:ascii="HelveticaNeueLT Pro 55 Roman" w:hAnsi="HelveticaNeueLT Pro 55 Roman"/>
          </w:rPr>
          <w:t>Die Statistiken der FAO</w:t>
        </w:r>
      </w:hyperlink>
      <w:r w:rsidR="0069199F" w:rsidRPr="004F0D02">
        <w:rPr>
          <w:rFonts w:ascii="HelveticaNeueLT Pro 55 Roman" w:hAnsi="HelveticaNeueLT Pro 55 Roman"/>
        </w:rPr>
        <w:t xml:space="preserve"> zeigen, dass seit den 1960er Jahren ein Rückgang der Emissionen aus der Tierhaltung um 51 % zu verzeichnen ist, was auf eine Verlagerung hin zu stärker spezialisierten Tierhaltungssystemen zurückzuführen ist. Die FAO weist auch darauf hin, dass durch eine </w:t>
      </w:r>
      <w:hyperlink r:id="rId10" w:history="1">
        <w:r w:rsidR="0069199F" w:rsidRPr="004F0D02">
          <w:rPr>
            <w:rStyle w:val="Hyperlink"/>
            <w:rFonts w:ascii="HelveticaNeueLT Pro 55 Roman" w:hAnsi="HelveticaNeueLT Pro 55 Roman"/>
          </w:rPr>
          <w:t>verbesserte Tierhaltung</w:t>
        </w:r>
      </w:hyperlink>
      <w:r w:rsidR="0069199F" w:rsidRPr="004F0D02">
        <w:rPr>
          <w:rFonts w:ascii="HelveticaNeueLT Pro 55 Roman" w:hAnsi="HelveticaNeueLT Pro 55 Roman"/>
        </w:rPr>
        <w:t xml:space="preserve"> eine weitere Reduzierung um 30 % erreicht werden kann.</w:t>
      </w:r>
    </w:p>
    <w:p w:rsidR="0069199F" w:rsidRPr="004F0D02" w:rsidRDefault="0069199F" w:rsidP="004F0D02">
      <w:pPr>
        <w:spacing w:line="276" w:lineRule="auto"/>
        <w:rPr>
          <w:rFonts w:ascii="HelveticaNeueLT Pro 55 Roman" w:hAnsi="HelveticaNeueLT Pro 55 Roman"/>
          <w:b/>
        </w:rPr>
      </w:pPr>
    </w:p>
    <w:p w:rsidR="0069199F" w:rsidRPr="004F0D02" w:rsidRDefault="0069199F" w:rsidP="004F0D02">
      <w:pPr>
        <w:pStyle w:val="Listenabsatz"/>
        <w:numPr>
          <w:ilvl w:val="0"/>
          <w:numId w:val="13"/>
        </w:numPr>
        <w:spacing w:line="276" w:lineRule="auto"/>
        <w:rPr>
          <w:rFonts w:ascii="HelveticaNeueLT Pro 55 Roman" w:hAnsi="HelveticaNeueLT Pro 55 Roman"/>
        </w:rPr>
      </w:pPr>
      <w:r w:rsidRPr="004F0D02">
        <w:rPr>
          <w:rFonts w:ascii="HelveticaNeueLT Pro 55 Roman" w:hAnsi="HelveticaNeueLT Pro 55 Roman"/>
        </w:rPr>
        <w:t xml:space="preserve">Mithilfe von Tierarzneimitteln ist es Europa gelungen, Tierkrankheiten wie der Blauzungenkrankheit, dem </w:t>
      </w:r>
      <w:proofErr w:type="spellStart"/>
      <w:r w:rsidRPr="004F0D02">
        <w:rPr>
          <w:rFonts w:ascii="HelveticaNeueLT Pro 55 Roman" w:hAnsi="HelveticaNeueLT Pro 55 Roman"/>
        </w:rPr>
        <w:t>Circovirus</w:t>
      </w:r>
      <w:proofErr w:type="spellEnd"/>
      <w:r w:rsidRPr="004F0D02">
        <w:rPr>
          <w:rFonts w:ascii="HelveticaNeueLT Pro 55 Roman" w:hAnsi="HelveticaNeueLT Pro 55 Roman"/>
        </w:rPr>
        <w:t xml:space="preserve"> und der Maul- und Klauenseuche vorzubeugen und </w:t>
      </w:r>
      <w:r w:rsidR="00441239">
        <w:rPr>
          <w:rFonts w:ascii="HelveticaNeueLT Pro 55 Roman" w:hAnsi="HelveticaNeueLT Pro 55 Roman"/>
        </w:rPr>
        <w:t>sie zu kontrollieren</w:t>
      </w:r>
      <w:r w:rsidRPr="004F0D02">
        <w:rPr>
          <w:rFonts w:ascii="HelveticaNeueLT Pro 55 Roman" w:hAnsi="HelveticaNeueLT Pro 55 Roman"/>
        </w:rPr>
        <w:t xml:space="preserve">. Diese Tierkrankheiten stellen </w:t>
      </w:r>
      <w:r w:rsidR="00441239">
        <w:rPr>
          <w:rFonts w:ascii="HelveticaNeueLT Pro 55 Roman" w:hAnsi="HelveticaNeueLT Pro 55 Roman"/>
        </w:rPr>
        <w:t xml:space="preserve">ohne Kontrolle </w:t>
      </w:r>
      <w:r w:rsidRPr="004F0D02">
        <w:rPr>
          <w:rFonts w:ascii="HelveticaNeueLT Pro 55 Roman" w:hAnsi="HelveticaNeueLT Pro 55 Roman"/>
        </w:rPr>
        <w:t>eine ernsthafte Bedrohung für die Tiergesundheit, die Lebensmittelsicherheit und die öffentliche Gesundheit dar.</w:t>
      </w:r>
    </w:p>
    <w:p w:rsidR="0069199F" w:rsidRPr="004F0D02" w:rsidRDefault="0069199F" w:rsidP="004F0D02">
      <w:pPr>
        <w:pStyle w:val="Listenabsatz"/>
        <w:spacing w:line="276" w:lineRule="auto"/>
        <w:rPr>
          <w:rFonts w:ascii="HelveticaNeueLT Pro 55 Roman" w:hAnsi="HelveticaNeueLT Pro 55 Roman"/>
        </w:rPr>
      </w:pPr>
    </w:p>
    <w:p w:rsidR="0069199F" w:rsidRPr="004F0D02" w:rsidRDefault="0069199F" w:rsidP="004F0D02">
      <w:pPr>
        <w:pStyle w:val="Listenabsatz"/>
        <w:numPr>
          <w:ilvl w:val="0"/>
          <w:numId w:val="13"/>
        </w:numPr>
        <w:spacing w:line="276" w:lineRule="auto"/>
        <w:rPr>
          <w:rFonts w:ascii="HelveticaNeueLT Pro 55 Roman" w:hAnsi="HelveticaNeueLT Pro 55 Roman"/>
        </w:rPr>
      </w:pPr>
      <w:r w:rsidRPr="004F0D02">
        <w:rPr>
          <w:rFonts w:ascii="HelveticaNeueLT Pro 55 Roman" w:hAnsi="HelveticaNeueLT Pro 55 Roman"/>
        </w:rPr>
        <w:t xml:space="preserve">Seit 2011 sind die Gesamtverkäufe von Antibiotika für Tiergesundheitszwecke laut </w:t>
      </w:r>
      <w:hyperlink r:id="rId11" w:history="1">
        <w:r w:rsidRPr="004F0D02">
          <w:rPr>
            <w:rStyle w:val="Hyperlink"/>
            <w:rFonts w:ascii="HelveticaNeueLT Pro 55 Roman" w:hAnsi="HelveticaNeueLT Pro 55 Roman"/>
          </w:rPr>
          <w:t>EMA</w:t>
        </w:r>
      </w:hyperlink>
      <w:r w:rsidRPr="004F0D02">
        <w:rPr>
          <w:rFonts w:ascii="HelveticaNeueLT Pro 55 Roman" w:hAnsi="HelveticaNeueLT Pro 55 Roman"/>
        </w:rPr>
        <w:t xml:space="preserve"> in 25 der 31 Länder des ESVAC-Netzwerks um 32% zurückgegangen.</w:t>
      </w:r>
      <w:r w:rsidR="00441239">
        <w:rPr>
          <w:rFonts w:ascii="HelveticaNeueLT Pro 55 Roman" w:hAnsi="HelveticaNeueLT Pro 55 Roman"/>
        </w:rPr>
        <w:t xml:space="preserve"> In Deutschland um 58% im gleichen Zeitraum.</w:t>
      </w:r>
    </w:p>
    <w:p w:rsidR="00C543D2" w:rsidRDefault="00441239" w:rsidP="004F0D02">
      <w:pPr>
        <w:pStyle w:val="Listenabsatz"/>
        <w:numPr>
          <w:ilvl w:val="0"/>
          <w:numId w:val="13"/>
        </w:numPr>
        <w:spacing w:line="276" w:lineRule="auto"/>
        <w:rPr>
          <w:rFonts w:ascii="HelveticaNeueLT Pro 55 Roman" w:hAnsi="HelveticaNeueLT Pro 55 Roman"/>
        </w:rPr>
      </w:pPr>
      <w:r w:rsidRPr="00201149">
        <w:rPr>
          <w:rFonts w:ascii="HelveticaNeueLT Pro 55 Roman" w:hAnsi="HelveticaNeueLT Pro 55 Roman"/>
        </w:rPr>
        <w:lastRenderedPageBreak/>
        <w:t>V</w:t>
      </w:r>
      <w:r w:rsidR="00FE44AE" w:rsidRPr="00201149">
        <w:rPr>
          <w:rFonts w:ascii="HelveticaNeueLT Pro 55 Roman" w:hAnsi="HelveticaNeueLT Pro 55 Roman"/>
        </w:rPr>
        <w:t xml:space="preserve">on </w:t>
      </w:r>
      <w:r w:rsidRPr="00201149">
        <w:rPr>
          <w:rFonts w:ascii="HelveticaNeueLT Pro 55 Roman" w:hAnsi="HelveticaNeueLT Pro 55 Roman"/>
        </w:rPr>
        <w:t xml:space="preserve">den durch </w:t>
      </w:r>
      <w:r w:rsidR="00FE44AE" w:rsidRPr="00201149">
        <w:rPr>
          <w:rFonts w:ascii="HelveticaNeueLT Pro 55 Roman" w:hAnsi="HelveticaNeueLT Pro 55 Roman"/>
        </w:rPr>
        <w:t xml:space="preserve">Nutztierhaltung genutzten Flächen können </w:t>
      </w:r>
      <w:r w:rsidRPr="00201149">
        <w:rPr>
          <w:rFonts w:ascii="HelveticaNeueLT Pro 55 Roman" w:hAnsi="HelveticaNeueLT Pro 55 Roman"/>
        </w:rPr>
        <w:t xml:space="preserve">70% </w:t>
      </w:r>
      <w:r w:rsidR="00FE44AE" w:rsidRPr="00201149">
        <w:rPr>
          <w:rFonts w:ascii="HelveticaNeueLT Pro 55 Roman" w:hAnsi="HelveticaNeueLT Pro 55 Roman"/>
        </w:rPr>
        <w:t xml:space="preserve">nicht für Ackerbau genutzt werden. Diese </w:t>
      </w:r>
      <w:r w:rsidR="00037553" w:rsidRPr="00201149">
        <w:rPr>
          <w:rFonts w:ascii="HelveticaNeueLT Pro 55 Roman" w:hAnsi="HelveticaNeueLT Pro 55 Roman"/>
        </w:rPr>
        <w:t>Flächen</w:t>
      </w:r>
      <w:r w:rsidR="00FE44AE" w:rsidRPr="00201149">
        <w:rPr>
          <w:rFonts w:ascii="HelveticaNeueLT Pro 55 Roman" w:hAnsi="HelveticaNeueLT Pro 55 Roman"/>
        </w:rPr>
        <w:t xml:space="preserve">, bei denen es sich insbesondere um </w:t>
      </w:r>
      <w:r w:rsidRPr="00201149">
        <w:rPr>
          <w:rFonts w:ascii="HelveticaNeueLT Pro 55 Roman" w:hAnsi="HelveticaNeueLT Pro 55 Roman"/>
        </w:rPr>
        <w:t>Wiesen und Weiden</w:t>
      </w:r>
      <w:r w:rsidR="00FE44AE" w:rsidRPr="00201149">
        <w:rPr>
          <w:rFonts w:ascii="HelveticaNeueLT Pro 55 Roman" w:hAnsi="HelveticaNeueLT Pro 55 Roman"/>
        </w:rPr>
        <w:t xml:space="preserve"> handelt, haben viele Umweltvorteile. Sie sind Reservoire der Artenvielfalt, schützen die Böden vor Erosion, filtern Wasser und speichern CO</w:t>
      </w:r>
      <w:r w:rsidR="00FE44AE" w:rsidRPr="00201149">
        <w:rPr>
          <w:rFonts w:ascii="HelveticaNeueLT Pro 55 Roman" w:hAnsi="HelveticaNeueLT Pro 55 Roman"/>
          <w:vertAlign w:val="subscript"/>
        </w:rPr>
        <w:t>2</w:t>
      </w:r>
      <w:r w:rsidR="00FE44AE" w:rsidRPr="00201149">
        <w:rPr>
          <w:rFonts w:ascii="HelveticaNeueLT Pro 55 Roman" w:hAnsi="HelveticaNeueLT Pro 55 Roman"/>
        </w:rPr>
        <w:t>.</w:t>
      </w:r>
      <w:r w:rsidR="00037553" w:rsidRPr="004F0D02">
        <w:rPr>
          <w:rStyle w:val="Endnotenzeichen"/>
          <w:rFonts w:ascii="HelveticaNeueLT Pro 55 Roman" w:hAnsi="HelveticaNeueLT Pro 55 Roman"/>
        </w:rPr>
        <w:endnoteReference w:id="1"/>
      </w:r>
      <w:r w:rsidR="00C543D2" w:rsidRPr="00201149">
        <w:rPr>
          <w:rFonts w:ascii="HelveticaNeueLT Pro 55 Roman" w:hAnsi="HelveticaNeueLT Pro 55 Roman"/>
        </w:rPr>
        <w:t xml:space="preserve"> </w:t>
      </w:r>
    </w:p>
    <w:p w:rsidR="00201149" w:rsidRPr="00201149" w:rsidRDefault="00201149" w:rsidP="00201149">
      <w:pPr>
        <w:pStyle w:val="Listenabsatz"/>
        <w:spacing w:line="276" w:lineRule="auto"/>
        <w:rPr>
          <w:rFonts w:ascii="HelveticaNeueLT Pro 55 Roman" w:hAnsi="HelveticaNeueLT Pro 55 Roman"/>
        </w:rPr>
      </w:pPr>
    </w:p>
    <w:p w:rsidR="00C543D2" w:rsidRPr="004F0D02" w:rsidRDefault="00C543D2" w:rsidP="004F0D02">
      <w:pPr>
        <w:pStyle w:val="Listenabsatz"/>
        <w:numPr>
          <w:ilvl w:val="0"/>
          <w:numId w:val="13"/>
        </w:numPr>
        <w:spacing w:line="276" w:lineRule="auto"/>
        <w:rPr>
          <w:rFonts w:ascii="HelveticaNeueLT Pro 55 Roman" w:hAnsi="HelveticaNeueLT Pro 55 Roman"/>
        </w:rPr>
      </w:pPr>
      <w:r w:rsidRPr="004F0D02">
        <w:rPr>
          <w:rFonts w:ascii="HelveticaNeueLT Pro 55 Roman" w:hAnsi="HelveticaNeueLT Pro 55 Roman"/>
        </w:rPr>
        <w:t>Nutztiere verbrauchen 6 Milliarden Tonnen Trockensubstanz, von denen 86% nicht als menschliche Nahrung verwendet werden können.</w:t>
      </w:r>
      <w:r w:rsidR="00A13261" w:rsidRPr="004F0D02">
        <w:rPr>
          <w:rStyle w:val="Endnotenzeichen"/>
          <w:rFonts w:ascii="HelveticaNeueLT Pro 55 Roman" w:hAnsi="HelveticaNeueLT Pro 55 Roman"/>
        </w:rPr>
        <w:endnoteReference w:id="2"/>
      </w:r>
      <w:r w:rsidRPr="004F0D02">
        <w:rPr>
          <w:rFonts w:ascii="HelveticaNeueLT Pro 55 Roman" w:hAnsi="HelveticaNeueLT Pro 55 Roman"/>
        </w:rPr>
        <w:t xml:space="preserve"> </w:t>
      </w:r>
    </w:p>
    <w:p w:rsidR="002D5D55" w:rsidRPr="004F0D02" w:rsidRDefault="002D5D55" w:rsidP="004F0D02">
      <w:pPr>
        <w:pStyle w:val="Listenabsatz"/>
        <w:spacing w:line="276" w:lineRule="auto"/>
        <w:rPr>
          <w:rFonts w:ascii="HelveticaNeueLT Pro 55 Roman" w:hAnsi="HelveticaNeueLT Pro 55 Roman"/>
        </w:rPr>
      </w:pPr>
    </w:p>
    <w:p w:rsidR="002D5D55" w:rsidRPr="004F0D02" w:rsidRDefault="002D5D55" w:rsidP="004F0D02">
      <w:pPr>
        <w:pStyle w:val="Listenabsatz"/>
        <w:numPr>
          <w:ilvl w:val="0"/>
          <w:numId w:val="13"/>
        </w:numPr>
        <w:spacing w:line="276" w:lineRule="auto"/>
        <w:rPr>
          <w:rFonts w:ascii="HelveticaNeueLT Pro 55 Roman" w:hAnsi="HelveticaNeueLT Pro 55 Roman"/>
        </w:rPr>
      </w:pPr>
      <w:r w:rsidRPr="004F0D02">
        <w:rPr>
          <w:rFonts w:ascii="HelveticaNeueLT Pro 55 Roman" w:hAnsi="HelveticaNeueLT Pro 55 Roman"/>
        </w:rPr>
        <w:t>Der Viehzuchtsektor trägt wesentlich zur europäischen Wirtschaft bei (168 Milliarden Euro jährlich, 45 % der gesamten lan</w:t>
      </w:r>
      <w:r w:rsidR="00A13261" w:rsidRPr="004F0D02">
        <w:rPr>
          <w:rFonts w:ascii="HelveticaNeueLT Pro 55 Roman" w:hAnsi="HelveticaNeueLT Pro 55 Roman"/>
        </w:rPr>
        <w:t>dwirtschaftlichen Tätigkeit),</w:t>
      </w:r>
      <w:r w:rsidRPr="004F0D02">
        <w:rPr>
          <w:rFonts w:ascii="HelveticaNeueLT Pro 55 Roman" w:hAnsi="HelveticaNeueLT Pro 55 Roman"/>
        </w:rPr>
        <w:t xml:space="preserve"> schafft direkte Arbeitsplätze für 4 Millionen Menschen und unterstützt indirekt die Arbeit von 30 Millionen Menschen, vor allem in ländlichen Gebieten. Die mit der Tier</w:t>
      </w:r>
      <w:r w:rsidR="00441239">
        <w:rPr>
          <w:rFonts w:ascii="HelveticaNeueLT Pro 55 Roman" w:hAnsi="HelveticaNeueLT Pro 55 Roman"/>
        </w:rPr>
        <w:t xml:space="preserve">haltung </w:t>
      </w:r>
      <w:r w:rsidRPr="004F0D02">
        <w:rPr>
          <w:rFonts w:ascii="HelveticaNeueLT Pro 55 Roman" w:hAnsi="HelveticaNeueLT Pro 55 Roman"/>
        </w:rPr>
        <w:t xml:space="preserve">verbundenen europäischen </w:t>
      </w:r>
      <w:r w:rsidR="00441239">
        <w:rPr>
          <w:rFonts w:ascii="HelveticaNeueLT Pro 55 Roman" w:hAnsi="HelveticaNeueLT Pro 55 Roman"/>
        </w:rPr>
        <w:t>Produktions</w:t>
      </w:r>
      <w:r w:rsidRPr="004F0D02">
        <w:rPr>
          <w:rFonts w:ascii="HelveticaNeueLT Pro 55 Roman" w:hAnsi="HelveticaNeueLT Pro 55 Roman"/>
        </w:rPr>
        <w:t>zweige (Milch- und Fleischverarbeitung,</w:t>
      </w:r>
      <w:r w:rsidR="00242135">
        <w:rPr>
          <w:rFonts w:ascii="HelveticaNeueLT Pro 55 Roman" w:hAnsi="HelveticaNeueLT Pro 55 Roman"/>
        </w:rPr>
        <w:t xml:space="preserve"> Futtermittel für die Viehzucht</w:t>
      </w:r>
      <w:r w:rsidRPr="004F0D02">
        <w:rPr>
          <w:rFonts w:ascii="HelveticaNeueLT Pro 55 Roman" w:hAnsi="HelveticaNeueLT Pro 55 Roman"/>
        </w:rPr>
        <w:t xml:space="preserve"> haben einen Jahresumsatz von etwa 400 Milliarden Euro. Die Tierproduktion der Zukunft könnte in der Tat einen großen Beitrag zur Kreislaufwirtschaft oder zur digitalen Industrie leisten</w:t>
      </w:r>
      <w:r w:rsidR="00BB1160">
        <w:rPr>
          <w:rFonts w:ascii="HelveticaNeueLT Pro 55 Roman" w:hAnsi="HelveticaNeueLT Pro 55 Roman"/>
        </w:rPr>
        <w:t xml:space="preserve">. </w:t>
      </w:r>
      <w:r w:rsidR="00A13261" w:rsidRPr="004F0D02">
        <w:rPr>
          <w:rStyle w:val="Endnotenzeichen"/>
          <w:rFonts w:ascii="HelveticaNeueLT Pro 55 Roman" w:hAnsi="HelveticaNeueLT Pro 55 Roman"/>
        </w:rPr>
        <w:endnoteReference w:id="3"/>
      </w:r>
    </w:p>
    <w:p w:rsidR="002D5D55" w:rsidRPr="004F0D02" w:rsidRDefault="002D5D55" w:rsidP="004F0D02">
      <w:pPr>
        <w:pStyle w:val="Listenabsatz"/>
        <w:spacing w:line="276" w:lineRule="auto"/>
        <w:rPr>
          <w:rFonts w:ascii="HelveticaNeueLT Pro 55 Roman" w:hAnsi="HelveticaNeueLT Pro 55 Roman"/>
        </w:rPr>
      </w:pPr>
    </w:p>
    <w:p w:rsidR="002D5D55" w:rsidRPr="004F0D02" w:rsidRDefault="002D5D55" w:rsidP="004F0D02">
      <w:pPr>
        <w:pStyle w:val="Listenabsatz"/>
        <w:numPr>
          <w:ilvl w:val="0"/>
          <w:numId w:val="13"/>
        </w:numPr>
        <w:spacing w:line="276" w:lineRule="auto"/>
        <w:rPr>
          <w:rFonts w:ascii="HelveticaNeueLT Pro 55 Roman" w:hAnsi="HelveticaNeueLT Pro 55 Roman"/>
        </w:rPr>
      </w:pPr>
      <w:r w:rsidRPr="004F0D02">
        <w:rPr>
          <w:rFonts w:ascii="HelveticaNeueLT Pro 55 Roman" w:hAnsi="HelveticaNeueLT Pro 55 Roman"/>
        </w:rPr>
        <w:t>Fleisch, Milch, Fisch und Eier liefern die neun wichtigsten Aminosäuren, Eisen (insbesondere rotes Fleisch), Zink, Kalzium (Milchprodukte), die Vitamine A, B3, B6, D und die Omega-</w:t>
      </w:r>
      <w:r w:rsidR="005E1EB1" w:rsidRPr="004F0D02">
        <w:rPr>
          <w:rFonts w:ascii="HelveticaNeueLT Pro 55 Roman" w:hAnsi="HelveticaNeueLT Pro 55 Roman"/>
        </w:rPr>
        <w:t>3-Fettsäuren EPA und DHA (fetthaltiger</w:t>
      </w:r>
      <w:r w:rsidRPr="004F0D02">
        <w:rPr>
          <w:rFonts w:ascii="HelveticaNeueLT Pro 55 Roman" w:hAnsi="HelveticaNeueLT Pro 55 Roman"/>
        </w:rPr>
        <w:t xml:space="preserve"> Fisch) und sie sind die einzigen Quellen </w:t>
      </w:r>
      <w:r w:rsidR="00BB1160">
        <w:rPr>
          <w:rFonts w:ascii="HelveticaNeueLT Pro 55 Roman" w:hAnsi="HelveticaNeueLT Pro 55 Roman"/>
        </w:rPr>
        <w:t xml:space="preserve">in der Nahrung </w:t>
      </w:r>
      <w:r w:rsidRPr="004F0D02">
        <w:rPr>
          <w:rFonts w:ascii="HelveticaNeueLT Pro 55 Roman" w:hAnsi="HelveticaNeueLT Pro 55 Roman"/>
        </w:rPr>
        <w:t>für Vitamin B12.</w:t>
      </w:r>
      <w:r w:rsidR="00F2432D" w:rsidRPr="004F0D02">
        <w:rPr>
          <w:rFonts w:ascii="HelveticaNeueLT Pro 55 Roman" w:hAnsi="HelveticaNeueLT Pro 55 Roman"/>
        </w:rPr>
        <w:t xml:space="preserve"> </w:t>
      </w:r>
    </w:p>
    <w:p w:rsidR="00B45D38" w:rsidRPr="004F0D02" w:rsidRDefault="00B45D38" w:rsidP="004F0D02">
      <w:pPr>
        <w:spacing w:line="276" w:lineRule="auto"/>
        <w:rPr>
          <w:rFonts w:ascii="HelveticaNeueLT Pro 55 Roman" w:hAnsi="HelveticaNeueLT Pro 55 Roman"/>
          <w:b/>
        </w:rPr>
      </w:pPr>
    </w:p>
    <w:p w:rsidR="00B45D38" w:rsidRPr="004F0D02" w:rsidRDefault="005E1EB1" w:rsidP="004F0D02">
      <w:pPr>
        <w:spacing w:line="276" w:lineRule="auto"/>
        <w:rPr>
          <w:rFonts w:ascii="HelveticaNeueLT Pro 55 Roman" w:hAnsi="HelveticaNeueLT Pro 55 Roman"/>
          <w:b/>
        </w:rPr>
      </w:pPr>
      <w:r w:rsidRPr="004F0D02">
        <w:rPr>
          <w:rFonts w:ascii="HelveticaNeueLT Pro 55 Roman" w:hAnsi="HelveticaNeueLT Pro 55 Roman" w:cs="Trebuchet MS"/>
          <w:color w:val="000000"/>
        </w:rPr>
        <w:t xml:space="preserve">Diese </w:t>
      </w:r>
      <w:r w:rsidR="00BB1160">
        <w:rPr>
          <w:rFonts w:ascii="HelveticaNeueLT Pro 55 Roman" w:hAnsi="HelveticaNeueLT Pro 55 Roman" w:cs="Trebuchet MS"/>
          <w:color w:val="000000"/>
        </w:rPr>
        <w:t>Fakten</w:t>
      </w:r>
      <w:r w:rsidRPr="004F0D02">
        <w:rPr>
          <w:rFonts w:ascii="HelveticaNeueLT Pro 55 Roman" w:hAnsi="HelveticaNeueLT Pro 55 Roman" w:cs="Trebuchet MS"/>
          <w:color w:val="000000"/>
        </w:rPr>
        <w:t xml:space="preserve"> zeigen, dass gesunde Tiere eine wichtige Rolle in einem </w:t>
      </w:r>
      <w:r w:rsidR="00BB1160">
        <w:rPr>
          <w:rFonts w:ascii="HelveticaNeueLT Pro 55 Roman" w:hAnsi="HelveticaNeueLT Pro 55 Roman" w:cs="Trebuchet MS"/>
          <w:color w:val="000000"/>
        </w:rPr>
        <w:t xml:space="preserve">Produktionssystem </w:t>
      </w:r>
      <w:r w:rsidRPr="004F0D02">
        <w:rPr>
          <w:rFonts w:ascii="HelveticaNeueLT Pro 55 Roman" w:hAnsi="HelveticaNeueLT Pro 55 Roman" w:cs="Trebuchet MS"/>
          <w:color w:val="000000"/>
        </w:rPr>
        <w:t>spielen, das in der Lage ist, sichere, erschwingliche und qualitativ hochwertige Lebensmittel für unsere wachsende Bevölkerung zu liefern und dabei die Auswirkungen auf die Umwelt zu verringern.</w:t>
      </w:r>
    </w:p>
    <w:p w:rsidR="00201149" w:rsidRPr="004F0D02" w:rsidRDefault="00201149" w:rsidP="004F0D02">
      <w:pPr>
        <w:spacing w:line="276" w:lineRule="auto"/>
        <w:rPr>
          <w:rFonts w:ascii="HelveticaNeueLT Pro 55 Roman" w:hAnsi="HelveticaNeueLT Pro 55 Roman"/>
          <w:b/>
        </w:rPr>
      </w:pPr>
    </w:p>
    <w:p w:rsidR="005E1EB1" w:rsidRDefault="005E1EB1" w:rsidP="004F0D02">
      <w:pPr>
        <w:spacing w:line="276" w:lineRule="auto"/>
        <w:rPr>
          <w:rFonts w:ascii="HelveticaNeueLT Pro 55 Roman" w:hAnsi="HelveticaNeueLT Pro 55 Roman"/>
        </w:rPr>
      </w:pPr>
      <w:r w:rsidRPr="004F0D02">
        <w:rPr>
          <w:rFonts w:ascii="HelveticaNeueLT Pro 55 Roman" w:hAnsi="HelveticaNeueLT Pro 55 Roman"/>
        </w:rPr>
        <w:t xml:space="preserve">Jedes </w:t>
      </w:r>
      <w:r w:rsidR="00BB1160">
        <w:rPr>
          <w:rFonts w:ascii="HelveticaNeueLT Pro 55 Roman" w:hAnsi="HelveticaNeueLT Pro 55 Roman"/>
        </w:rPr>
        <w:t>P</w:t>
      </w:r>
      <w:r w:rsidRPr="004F0D02">
        <w:rPr>
          <w:rFonts w:ascii="HelveticaNeueLT Pro 55 Roman" w:hAnsi="HelveticaNeueLT Pro 55 Roman"/>
        </w:rPr>
        <w:t>roduktionssystem</w:t>
      </w:r>
      <w:r w:rsidR="00BB1160">
        <w:rPr>
          <w:rFonts w:ascii="HelveticaNeueLT Pro 55 Roman" w:hAnsi="HelveticaNeueLT Pro 55 Roman"/>
        </w:rPr>
        <w:t xml:space="preserve"> für Lebensmittel</w:t>
      </w:r>
      <w:r w:rsidRPr="004F0D02">
        <w:rPr>
          <w:rFonts w:ascii="HelveticaNeueLT Pro 55 Roman" w:hAnsi="HelveticaNeueLT Pro 55 Roman"/>
        </w:rPr>
        <w:t xml:space="preserve">, das auf Nachhaltigkeit abzielt, muss auch die </w:t>
      </w:r>
      <w:r w:rsidRPr="008B53AB">
        <w:rPr>
          <w:rFonts w:ascii="HelveticaNeueLT Pro 55 Roman" w:hAnsi="HelveticaNeueLT Pro 55 Roman"/>
        </w:rPr>
        <w:t>Mittel</w:t>
      </w:r>
      <w:r w:rsidRPr="004F0D02">
        <w:rPr>
          <w:rFonts w:ascii="HelveticaNeueLT Pro 55 Roman" w:hAnsi="HelveticaNeueLT Pro 55 Roman"/>
        </w:rPr>
        <w:t xml:space="preserve"> angemessen berücksichtig</w:t>
      </w:r>
      <w:r w:rsidR="00BB1160">
        <w:rPr>
          <w:rFonts w:ascii="HelveticaNeueLT Pro 55 Roman" w:hAnsi="HelveticaNeueLT Pro 55 Roman"/>
        </w:rPr>
        <w:t xml:space="preserve">en, die für eine gute Tierzucht- und </w:t>
      </w:r>
      <w:proofErr w:type="spellStart"/>
      <w:r w:rsidR="00BB1160">
        <w:rPr>
          <w:rFonts w:ascii="HelveticaNeueLT Pro 55 Roman" w:hAnsi="HelveticaNeueLT Pro 55 Roman"/>
        </w:rPr>
        <w:t>haltung</w:t>
      </w:r>
      <w:proofErr w:type="spellEnd"/>
      <w:r w:rsidR="00BB1160">
        <w:rPr>
          <w:rFonts w:ascii="HelveticaNeueLT Pro 55 Roman" w:hAnsi="HelveticaNeueLT Pro 55 Roman"/>
        </w:rPr>
        <w:t xml:space="preserve"> </w:t>
      </w:r>
      <w:r w:rsidRPr="004F0D02">
        <w:rPr>
          <w:rFonts w:ascii="HelveticaNeueLT Pro 55 Roman" w:hAnsi="HelveticaNeueLT Pro 55 Roman"/>
        </w:rPr>
        <w:t xml:space="preserve">erforderlich sind, um sichere, nahrhafte und erschwingliche Nahrungsmittel zu liefern. Sei es zur </w:t>
      </w:r>
      <w:r w:rsidR="00BB1160">
        <w:rPr>
          <w:rFonts w:ascii="HelveticaNeueLT Pro 55 Roman" w:hAnsi="HelveticaNeueLT Pro 55 Roman"/>
        </w:rPr>
        <w:t>Diagnose,</w:t>
      </w:r>
      <w:r w:rsidRPr="004F0D02">
        <w:rPr>
          <w:rFonts w:ascii="HelveticaNeueLT Pro 55 Roman" w:hAnsi="HelveticaNeueLT Pro 55 Roman"/>
        </w:rPr>
        <w:t xml:space="preserve"> Vorbeugung oder Behandlung von Krankheiten - die Tiergesundheitsindustrie trägt zu einer nachhaltigen Zukunft bei, indem sie innovative Impfstoffe, Diagnos</w:t>
      </w:r>
      <w:r w:rsidR="00BB1160">
        <w:rPr>
          <w:rFonts w:ascii="HelveticaNeueLT Pro 55 Roman" w:hAnsi="HelveticaNeueLT Pro 55 Roman"/>
        </w:rPr>
        <w:t xml:space="preserve">tika und </w:t>
      </w:r>
      <w:proofErr w:type="spellStart"/>
      <w:r w:rsidR="00BB1160">
        <w:rPr>
          <w:rFonts w:ascii="HelveticaNeueLT Pro 55 Roman" w:hAnsi="HelveticaNeueLT Pro 55 Roman"/>
        </w:rPr>
        <w:t>Monitoringlösungen</w:t>
      </w:r>
      <w:proofErr w:type="spellEnd"/>
      <w:r w:rsidRPr="004F0D02">
        <w:rPr>
          <w:rFonts w:ascii="HelveticaNeueLT Pro 55 Roman" w:hAnsi="HelveticaNeueLT Pro 55 Roman"/>
        </w:rPr>
        <w:t>, Parasiten</w:t>
      </w:r>
      <w:r w:rsidR="00897067">
        <w:rPr>
          <w:rFonts w:ascii="HelveticaNeueLT Pro 55 Roman" w:hAnsi="HelveticaNeueLT Pro 55 Roman"/>
        </w:rPr>
        <w:t>kontrolle</w:t>
      </w:r>
      <w:r w:rsidRPr="004F0D02">
        <w:rPr>
          <w:rFonts w:ascii="HelveticaNeueLT Pro 55 Roman" w:hAnsi="HelveticaNeueLT Pro 55 Roman"/>
        </w:rPr>
        <w:t xml:space="preserve">, </w:t>
      </w:r>
      <w:r w:rsidR="00BB1160">
        <w:rPr>
          <w:rFonts w:ascii="HelveticaNeueLT Pro 55 Roman" w:hAnsi="HelveticaNeueLT Pro 55 Roman"/>
        </w:rPr>
        <w:t>sowie Therapeutika und anderes</w:t>
      </w:r>
      <w:r w:rsidRPr="004F0D02">
        <w:rPr>
          <w:rFonts w:ascii="HelveticaNeueLT Pro 55 Roman" w:hAnsi="HelveticaNeueLT Pro 55 Roman"/>
        </w:rPr>
        <w:t xml:space="preserve"> bereitstellt.</w:t>
      </w:r>
    </w:p>
    <w:p w:rsidR="00F96591" w:rsidRDefault="00F96591" w:rsidP="004F0D02">
      <w:pPr>
        <w:spacing w:line="276" w:lineRule="auto"/>
        <w:rPr>
          <w:rFonts w:ascii="HelveticaNeueLT Pro 55 Roman" w:hAnsi="HelveticaNeueLT Pro 55 Roman"/>
        </w:rPr>
      </w:pPr>
    </w:p>
    <w:p w:rsidR="00F96591" w:rsidRPr="004F0D02" w:rsidRDefault="00905556" w:rsidP="004F0D02">
      <w:pPr>
        <w:spacing w:line="276" w:lineRule="auto"/>
        <w:rPr>
          <w:rFonts w:ascii="HelveticaNeueLT Pro 55 Roman" w:hAnsi="HelveticaNeueLT Pro 55 Roman"/>
        </w:rPr>
      </w:pPr>
      <w:bookmarkStart w:id="0" w:name="_GoBack"/>
      <w:r>
        <w:rPr>
          <w:rFonts w:ascii="HelveticaNeueLT Pro 55 Roman" w:hAnsi="HelveticaNeueLT Pro 55 Roman"/>
          <w:noProof/>
          <w:lang w:eastAsia="de-DE"/>
        </w:rPr>
        <w:lastRenderedPageBreak/>
        <w:drawing>
          <wp:inline distT="0" distB="0" distL="0" distR="0">
            <wp:extent cx="5755640" cy="3007360"/>
            <wp:effectExtent l="0" t="0" r="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_AnimalHealth_Sustainability_final.png"/>
                    <pic:cNvPicPr/>
                  </pic:nvPicPr>
                  <pic:blipFill>
                    <a:blip r:embed="rId12">
                      <a:extLst>
                        <a:ext uri="{28A0092B-C50C-407E-A947-70E740481C1C}">
                          <a14:useLocalDpi xmlns:a14="http://schemas.microsoft.com/office/drawing/2010/main" val="0"/>
                        </a:ext>
                      </a:extLst>
                    </a:blip>
                    <a:stretch>
                      <a:fillRect/>
                    </a:stretch>
                  </pic:blipFill>
                  <pic:spPr>
                    <a:xfrm>
                      <a:off x="0" y="0"/>
                      <a:ext cx="5755640" cy="3007360"/>
                    </a:xfrm>
                    <a:prstGeom prst="rect">
                      <a:avLst/>
                    </a:prstGeom>
                  </pic:spPr>
                </pic:pic>
              </a:graphicData>
            </a:graphic>
          </wp:inline>
        </w:drawing>
      </w:r>
      <w:bookmarkEnd w:id="0"/>
    </w:p>
    <w:p w:rsidR="005E1EB1" w:rsidRDefault="005E1EB1" w:rsidP="004F0D02">
      <w:pPr>
        <w:spacing w:line="276" w:lineRule="auto"/>
        <w:rPr>
          <w:rFonts w:ascii="HelveticaNeueLT Pro 55 Roman" w:hAnsi="HelveticaNeueLT Pro 55 Roman"/>
        </w:rPr>
      </w:pPr>
    </w:p>
    <w:p w:rsidR="00F96591" w:rsidRPr="004F0D02" w:rsidRDefault="00F96591" w:rsidP="004F0D02">
      <w:pPr>
        <w:spacing w:line="276" w:lineRule="auto"/>
        <w:rPr>
          <w:rFonts w:ascii="HelveticaNeueLT Pro 55 Roman" w:hAnsi="HelveticaNeueLT Pro 55 Roman"/>
        </w:rPr>
      </w:pPr>
    </w:p>
    <w:p w:rsidR="00B45D38" w:rsidRPr="004F0D02" w:rsidRDefault="00B45D38" w:rsidP="004F0D02">
      <w:pPr>
        <w:spacing w:line="276" w:lineRule="auto"/>
        <w:ind w:left="708"/>
        <w:rPr>
          <w:rFonts w:ascii="HelveticaNeueLT Pro 55 Roman" w:hAnsi="HelveticaNeueLT Pro 55 Roman"/>
          <w:b/>
        </w:rPr>
      </w:pPr>
      <w:r w:rsidRPr="004F0D02">
        <w:rPr>
          <w:rFonts w:ascii="HelveticaNeueLT Pro 55 Roman" w:hAnsi="HelveticaNeueLT Pro 55 Roman"/>
          <w:b/>
        </w:rPr>
        <w:t>1. Tiergesundheit und Tierschutz</w:t>
      </w:r>
    </w:p>
    <w:p w:rsidR="00B45D38" w:rsidRPr="004F0D02" w:rsidRDefault="00B45D38" w:rsidP="004F0D02">
      <w:pPr>
        <w:spacing w:line="276" w:lineRule="auto"/>
        <w:rPr>
          <w:rFonts w:ascii="HelveticaNeueLT Pro 55 Roman" w:hAnsi="HelveticaNeueLT Pro 55 Roman"/>
        </w:rPr>
      </w:pPr>
    </w:p>
    <w:p w:rsidR="00B30E06" w:rsidRPr="004F0D02" w:rsidRDefault="00B45D38" w:rsidP="004F0D02">
      <w:pPr>
        <w:spacing w:line="276" w:lineRule="auto"/>
        <w:rPr>
          <w:rFonts w:ascii="HelveticaNeueLT Pro 55 Roman" w:hAnsi="HelveticaNeueLT Pro 55 Roman"/>
        </w:rPr>
      </w:pPr>
      <w:r w:rsidRPr="004F0D02">
        <w:rPr>
          <w:rFonts w:ascii="HelveticaNeueLT Pro 55 Roman" w:hAnsi="HelveticaNeueLT Pro 55 Roman"/>
          <w:b/>
        </w:rPr>
        <w:t>Wie wir einen Beitrag leisten können:</w:t>
      </w:r>
      <w:r w:rsidRPr="004F0D02">
        <w:rPr>
          <w:rFonts w:ascii="HelveticaNeueLT Pro 55 Roman" w:hAnsi="HelveticaNeueLT Pro 55 Roman"/>
        </w:rPr>
        <w:t xml:space="preserve"> </w:t>
      </w:r>
      <w:r w:rsidR="00B30E06" w:rsidRPr="004F0D02">
        <w:rPr>
          <w:rFonts w:ascii="HelveticaNeueLT Pro 55 Roman" w:hAnsi="HelveticaNeueLT Pro 55 Roman"/>
        </w:rPr>
        <w:t>Tiere werden genau wie Menschen krank und benötigen dann Medikamente. Die Tiergesundheitsindustrie treibt Fortschritt</w:t>
      </w:r>
      <w:r w:rsidR="00897067">
        <w:rPr>
          <w:rFonts w:ascii="HelveticaNeueLT Pro 55 Roman" w:hAnsi="HelveticaNeueLT Pro 55 Roman"/>
        </w:rPr>
        <w:t xml:space="preserve">e </w:t>
      </w:r>
      <w:r w:rsidR="00B30E06" w:rsidRPr="004F0D02">
        <w:rPr>
          <w:rFonts w:ascii="HelveticaNeueLT Pro 55 Roman" w:hAnsi="HelveticaNeueLT Pro 55 Roman"/>
        </w:rPr>
        <w:t xml:space="preserve">Tiergesundheit und </w:t>
      </w:r>
      <w:r w:rsidR="00BB1160">
        <w:rPr>
          <w:rFonts w:ascii="HelveticaNeueLT Pro 55 Roman" w:hAnsi="HelveticaNeueLT Pro 55 Roman"/>
        </w:rPr>
        <w:t xml:space="preserve">damit dem </w:t>
      </w:r>
      <w:r w:rsidR="00B30E06" w:rsidRPr="004F0D02">
        <w:rPr>
          <w:rFonts w:ascii="HelveticaNeueLT Pro 55 Roman" w:hAnsi="HelveticaNeueLT Pro 55 Roman"/>
        </w:rPr>
        <w:t>Wohlbefinden der Tiere voran, die es ermöglichen, gesunde</w:t>
      </w:r>
      <w:r w:rsidR="00BB1160">
        <w:rPr>
          <w:rFonts w:ascii="HelveticaNeueLT Pro 55 Roman" w:hAnsi="HelveticaNeueLT Pro 55 Roman"/>
        </w:rPr>
        <w:t xml:space="preserve"> Nutztiere nachhaltig zu halten</w:t>
      </w:r>
      <w:r w:rsidR="00B30E06" w:rsidRPr="004F0D02">
        <w:rPr>
          <w:rFonts w:ascii="HelveticaNeueLT Pro 55 Roman" w:hAnsi="HelveticaNeueLT Pro 55 Roman"/>
        </w:rPr>
        <w:t>. Tiergesundheit und Tierschutz sind Schlüsselkomponenten für die beiden voneinander abhängigen Elemente: nachhaltige Tierhaltung und nachhaltige Lebensmittelproduktion. Die Tiergesundheit ist eine Voraussetzung für die Aufrechterhaltung eines guten Tierschutzes.</w:t>
      </w:r>
    </w:p>
    <w:p w:rsidR="00B45D38" w:rsidRPr="004F0D02" w:rsidRDefault="00B45D38" w:rsidP="004F0D02">
      <w:pPr>
        <w:spacing w:line="276" w:lineRule="auto"/>
        <w:rPr>
          <w:rFonts w:ascii="HelveticaNeueLT Pro 55 Roman" w:hAnsi="HelveticaNeueLT Pro 55 Roman"/>
        </w:rPr>
      </w:pPr>
    </w:p>
    <w:p w:rsidR="003F7D38" w:rsidRDefault="00B30E06" w:rsidP="004F0D02">
      <w:pPr>
        <w:spacing w:line="276" w:lineRule="auto"/>
        <w:rPr>
          <w:rFonts w:ascii="HelveticaNeueLT Pro 55 Roman" w:hAnsi="HelveticaNeueLT Pro 55 Roman"/>
        </w:rPr>
      </w:pPr>
      <w:r w:rsidRPr="004F0D02">
        <w:rPr>
          <w:rFonts w:ascii="HelveticaNeueLT Pro 55 Roman" w:hAnsi="HelveticaNeueLT Pro 55 Roman"/>
        </w:rPr>
        <w:t xml:space="preserve">Die Tiergesundheitsbranche ist bereit, neue Lösungen durch zukunftsweisende Innovationen anzubieten, die darauf abzielen, Schmerzen und Krankheiten der Tiere </w:t>
      </w:r>
      <w:r w:rsidR="00BB1160">
        <w:rPr>
          <w:rFonts w:ascii="HelveticaNeueLT Pro 55 Roman" w:hAnsi="HelveticaNeueLT Pro 55 Roman"/>
        </w:rPr>
        <w:t xml:space="preserve">zu verringern und Verluste von Tieren oder </w:t>
      </w:r>
      <w:r w:rsidRPr="004F0D02">
        <w:rPr>
          <w:rFonts w:ascii="HelveticaNeueLT Pro 55 Roman" w:hAnsi="HelveticaNeueLT Pro 55 Roman"/>
        </w:rPr>
        <w:t>Lebensmittel</w:t>
      </w:r>
      <w:r w:rsidR="00BB1160">
        <w:rPr>
          <w:rFonts w:ascii="HelveticaNeueLT Pro 55 Roman" w:hAnsi="HelveticaNeueLT Pro 55 Roman"/>
        </w:rPr>
        <w:t xml:space="preserve">n aufgrund von Gesundheitsrisiken zu verhindern. Neben </w:t>
      </w:r>
      <w:r w:rsidRPr="004F0D02">
        <w:rPr>
          <w:rFonts w:ascii="HelveticaNeueLT Pro 55 Roman" w:hAnsi="HelveticaNeueLT Pro 55 Roman"/>
        </w:rPr>
        <w:t xml:space="preserve">neuen Technologien </w:t>
      </w:r>
      <w:r w:rsidR="00BB1160">
        <w:rPr>
          <w:rFonts w:ascii="HelveticaNeueLT Pro 55 Roman" w:hAnsi="HelveticaNeueLT Pro 55 Roman"/>
        </w:rPr>
        <w:t xml:space="preserve">ist es wichtig, </w:t>
      </w:r>
      <w:r w:rsidR="003F7D38">
        <w:rPr>
          <w:rFonts w:ascii="HelveticaNeueLT Pro 55 Roman" w:hAnsi="HelveticaNeueLT Pro 55 Roman"/>
        </w:rPr>
        <w:t xml:space="preserve">für den Tierarzt ein umfassenden des Set an Produkten, wie </w:t>
      </w:r>
      <w:r w:rsidRPr="004F0D02">
        <w:rPr>
          <w:rFonts w:ascii="HelveticaNeueLT Pro 55 Roman" w:hAnsi="HelveticaNeueLT Pro 55 Roman"/>
        </w:rPr>
        <w:t xml:space="preserve">Impfstoffe, </w:t>
      </w:r>
      <w:proofErr w:type="spellStart"/>
      <w:r w:rsidRPr="004F0D02">
        <w:rPr>
          <w:rFonts w:ascii="HelveticaNeueLT Pro 55 Roman" w:hAnsi="HelveticaNeueLT Pro 55 Roman"/>
        </w:rPr>
        <w:t>Antiparasiti</w:t>
      </w:r>
      <w:r w:rsidR="003F7D38">
        <w:rPr>
          <w:rFonts w:ascii="HelveticaNeueLT Pro 55 Roman" w:hAnsi="HelveticaNeueLT Pro 55 Roman"/>
        </w:rPr>
        <w:t>ka</w:t>
      </w:r>
      <w:proofErr w:type="spellEnd"/>
      <w:r w:rsidRPr="004F0D02">
        <w:rPr>
          <w:rFonts w:ascii="HelveticaNeueLT Pro 55 Roman" w:hAnsi="HelveticaNeueLT Pro 55 Roman"/>
        </w:rPr>
        <w:t xml:space="preserve"> </w:t>
      </w:r>
      <w:r w:rsidR="003F7D38">
        <w:rPr>
          <w:rFonts w:ascii="HelveticaNeueLT Pro 55 Roman" w:hAnsi="HelveticaNeueLT Pro 55 Roman"/>
        </w:rPr>
        <w:t>oder</w:t>
      </w:r>
      <w:r w:rsidRPr="004F0D02">
        <w:rPr>
          <w:rFonts w:ascii="HelveticaNeueLT Pro 55 Roman" w:hAnsi="HelveticaNeueLT Pro 55 Roman"/>
        </w:rPr>
        <w:t xml:space="preserve"> entzündungshemmende </w:t>
      </w:r>
      <w:r w:rsidR="003F7D38">
        <w:rPr>
          <w:rFonts w:ascii="HelveticaNeueLT Pro 55 Roman" w:hAnsi="HelveticaNeueLT Pro 55 Roman"/>
        </w:rPr>
        <w:t xml:space="preserve">Mittel, für die veterinärmedizinische Versorgung der Tiere bereit zu stellen. Darüber hinaus tragen wir durch </w:t>
      </w:r>
      <w:r w:rsidR="003F7D38" w:rsidRPr="003F7D38">
        <w:rPr>
          <w:rFonts w:ascii="HelveticaNeueLT Pro 55 Roman" w:hAnsi="HelveticaNeueLT Pro 55 Roman"/>
        </w:rPr>
        <w:t xml:space="preserve">praktische Ratschläge, Lehrmaterial oder Plattformen zum Austausch innovativer Ideen </w:t>
      </w:r>
      <w:r w:rsidRPr="004F0D02">
        <w:rPr>
          <w:rFonts w:ascii="HelveticaNeueLT Pro 55 Roman" w:hAnsi="HelveticaNeueLT Pro 55 Roman"/>
        </w:rPr>
        <w:t>zur Tiergesundheit und</w:t>
      </w:r>
      <w:r w:rsidR="003F7D38">
        <w:rPr>
          <w:rFonts w:ascii="HelveticaNeueLT Pro 55 Roman" w:hAnsi="HelveticaNeueLT Pro 55 Roman"/>
        </w:rPr>
        <w:t xml:space="preserve"> zum Wohlbefinden der Tiere bei. </w:t>
      </w:r>
    </w:p>
    <w:p w:rsidR="003F7D38" w:rsidRDefault="003F7D38" w:rsidP="004F0D02">
      <w:pPr>
        <w:spacing w:line="276" w:lineRule="auto"/>
        <w:rPr>
          <w:rFonts w:ascii="HelveticaNeueLT Pro 55 Roman" w:hAnsi="HelveticaNeueLT Pro 55 Roman"/>
        </w:rPr>
      </w:pPr>
    </w:p>
    <w:p w:rsidR="00B45D38" w:rsidRPr="004F0D02" w:rsidRDefault="003F7D38" w:rsidP="004F0D02">
      <w:pPr>
        <w:spacing w:line="276" w:lineRule="auto"/>
        <w:rPr>
          <w:rFonts w:ascii="HelveticaNeueLT Pro 55 Roman" w:hAnsi="HelveticaNeueLT Pro 55 Roman"/>
        </w:rPr>
      </w:pPr>
      <w:r>
        <w:rPr>
          <w:rFonts w:ascii="HelveticaNeueLT Pro 55 Roman" w:hAnsi="HelveticaNeueLT Pro 55 Roman"/>
        </w:rPr>
        <w:t>Dies alles</w:t>
      </w:r>
      <w:r w:rsidR="00B30E06" w:rsidRPr="004F0D02">
        <w:rPr>
          <w:rFonts w:ascii="HelveticaNeueLT Pro 55 Roman" w:hAnsi="HelveticaNeueLT Pro 55 Roman"/>
        </w:rPr>
        <w:t xml:space="preserve"> trägt nicht nur zu einem besseren Wohlergehen der Tiere bei, sondern sorgt auch für eine optimale Nutzung der natürlichen Ressourcen und </w:t>
      </w:r>
      <w:r>
        <w:rPr>
          <w:rFonts w:ascii="HelveticaNeueLT Pro 55 Roman" w:hAnsi="HelveticaNeueLT Pro 55 Roman"/>
        </w:rPr>
        <w:t xml:space="preserve">Minimierung negativer </w:t>
      </w:r>
      <w:r w:rsidR="00B30E06" w:rsidRPr="004F0D02">
        <w:rPr>
          <w:rFonts w:ascii="HelveticaNeueLT Pro 55 Roman" w:hAnsi="HelveticaNeueLT Pro 55 Roman"/>
        </w:rPr>
        <w:t>Auswirkungen auf die</w:t>
      </w:r>
      <w:r>
        <w:rPr>
          <w:rFonts w:ascii="HelveticaNeueLT Pro 55 Roman" w:hAnsi="HelveticaNeueLT Pro 55 Roman"/>
        </w:rPr>
        <w:t xml:space="preserve"> Umwelt</w:t>
      </w:r>
      <w:r w:rsidR="00B30E06" w:rsidRPr="004F0D02">
        <w:rPr>
          <w:rFonts w:ascii="HelveticaNeueLT Pro 55 Roman" w:hAnsi="HelveticaNeueLT Pro 55 Roman"/>
        </w:rPr>
        <w:t>.</w:t>
      </w:r>
    </w:p>
    <w:p w:rsidR="00FE2B83" w:rsidRPr="004F0D02" w:rsidRDefault="00FE2B83" w:rsidP="004F0D02">
      <w:pPr>
        <w:spacing w:line="276" w:lineRule="auto"/>
        <w:rPr>
          <w:rFonts w:ascii="HelveticaNeueLT Pro 55 Roman" w:hAnsi="HelveticaNeueLT Pro 55 Roman"/>
        </w:rPr>
      </w:pPr>
    </w:p>
    <w:p w:rsidR="00B45D38" w:rsidRPr="004F0D02" w:rsidRDefault="00FE2B83" w:rsidP="004F0D02">
      <w:pPr>
        <w:spacing w:line="276" w:lineRule="auto"/>
        <w:rPr>
          <w:rFonts w:ascii="HelveticaNeueLT Pro 55 Roman" w:hAnsi="HelveticaNeueLT Pro 55 Roman"/>
        </w:rPr>
      </w:pPr>
      <w:r w:rsidRPr="004F0D02">
        <w:rPr>
          <w:rFonts w:ascii="HelveticaNeueLT Pro 55 Roman" w:hAnsi="HelveticaNeueLT Pro 55 Roman"/>
          <w:b/>
        </w:rPr>
        <w:t>Unsere Bitte:</w:t>
      </w:r>
      <w:r w:rsidR="00DE12E4">
        <w:rPr>
          <w:rFonts w:ascii="HelveticaNeueLT Pro 55 Roman" w:hAnsi="HelveticaNeueLT Pro 55 Roman"/>
        </w:rPr>
        <w:t xml:space="preserve"> D</w:t>
      </w:r>
      <w:r w:rsidRPr="004F0D02">
        <w:rPr>
          <w:rFonts w:ascii="HelveticaNeueLT Pro 55 Roman" w:hAnsi="HelveticaNeueLT Pro 55 Roman"/>
        </w:rPr>
        <w:t xml:space="preserve">urch </w:t>
      </w:r>
      <w:proofErr w:type="spellStart"/>
      <w:r w:rsidRPr="004F0D02">
        <w:rPr>
          <w:rFonts w:ascii="HelveticaNeueLT Pro 55 Roman" w:hAnsi="HelveticaNeueLT Pro 55 Roman"/>
        </w:rPr>
        <w:t>Tierkrankheiten</w:t>
      </w:r>
      <w:r w:rsidR="00EC3A21" w:rsidRPr="004F0D02">
        <w:rPr>
          <w:rFonts w:ascii="HelveticaNeueLT Pro 55 Roman" w:hAnsi="HelveticaNeueLT Pro 55 Roman"/>
          <w:vertAlign w:val="superscript"/>
        </w:rPr>
        <w:t>vii</w:t>
      </w:r>
      <w:proofErr w:type="spellEnd"/>
      <w:r w:rsidRPr="004F0D02">
        <w:rPr>
          <w:rFonts w:ascii="HelveticaNeueLT Pro 55 Roman" w:hAnsi="HelveticaNeueLT Pro 55 Roman"/>
        </w:rPr>
        <w:t xml:space="preserve"> </w:t>
      </w:r>
      <w:r w:rsidR="00DE12E4">
        <w:rPr>
          <w:rFonts w:ascii="HelveticaNeueLT Pro 55 Roman" w:hAnsi="HelveticaNeueLT Pro 55 Roman"/>
        </w:rPr>
        <w:t xml:space="preserve">gehen bis zu 20% der Produktion </w:t>
      </w:r>
      <w:r w:rsidRPr="004F0D02">
        <w:rPr>
          <w:rFonts w:ascii="HelveticaNeueLT Pro 55 Roman" w:hAnsi="HelveticaNeueLT Pro 55 Roman"/>
        </w:rPr>
        <w:t xml:space="preserve">verloren </w:t>
      </w:r>
      <w:r w:rsidR="00DE12E4">
        <w:rPr>
          <w:rFonts w:ascii="HelveticaNeueLT Pro 55 Roman" w:hAnsi="HelveticaNeueLT Pro 55 Roman"/>
        </w:rPr>
        <w:t xml:space="preserve">könne nicht für die Nahrungsmittelherstellung genutzt werden. Daher erwarten wir uns von der </w:t>
      </w:r>
      <w:r w:rsidRPr="004F0D02">
        <w:rPr>
          <w:rFonts w:ascii="HelveticaNeueLT Pro 55 Roman" w:hAnsi="HelveticaNeueLT Pro 55 Roman"/>
        </w:rPr>
        <w:t xml:space="preserve">neuen "Farm </w:t>
      </w:r>
      <w:proofErr w:type="spellStart"/>
      <w:r w:rsidRPr="004F0D02">
        <w:rPr>
          <w:rFonts w:ascii="HelveticaNeueLT Pro 55 Roman" w:hAnsi="HelveticaNeueLT Pro 55 Roman"/>
        </w:rPr>
        <w:t>to</w:t>
      </w:r>
      <w:proofErr w:type="spellEnd"/>
      <w:r w:rsidRPr="004F0D02">
        <w:rPr>
          <w:rFonts w:ascii="HelveticaNeueLT Pro 55 Roman" w:hAnsi="HelveticaNeueLT Pro 55 Roman"/>
        </w:rPr>
        <w:t xml:space="preserve"> </w:t>
      </w:r>
      <w:proofErr w:type="spellStart"/>
      <w:r w:rsidRPr="004F0D02">
        <w:rPr>
          <w:rFonts w:ascii="HelveticaNeueLT Pro 55 Roman" w:hAnsi="HelveticaNeueLT Pro 55 Roman"/>
        </w:rPr>
        <w:t>Fork</w:t>
      </w:r>
      <w:proofErr w:type="spellEnd"/>
      <w:r w:rsidRPr="004F0D02">
        <w:rPr>
          <w:rFonts w:ascii="HelveticaNeueLT Pro 55 Roman" w:hAnsi="HelveticaNeueLT Pro 55 Roman"/>
        </w:rPr>
        <w:t>"-</w:t>
      </w:r>
      <w:r w:rsidR="003F7D38">
        <w:rPr>
          <w:rFonts w:ascii="HelveticaNeueLT Pro 55 Roman" w:hAnsi="HelveticaNeueLT Pro 55 Roman"/>
        </w:rPr>
        <w:t>Strategie</w:t>
      </w:r>
      <w:r w:rsidRPr="004F0D02">
        <w:rPr>
          <w:rFonts w:ascii="HelveticaNeueLT Pro 55 Roman" w:hAnsi="HelveticaNeueLT Pro 55 Roman"/>
        </w:rPr>
        <w:t xml:space="preserve">, dass sie </w:t>
      </w:r>
      <w:r w:rsidR="003F7D38">
        <w:rPr>
          <w:rFonts w:ascii="HelveticaNeueLT Pro 55 Roman" w:hAnsi="HelveticaNeueLT Pro 55 Roman"/>
        </w:rPr>
        <w:t xml:space="preserve">hilft, die vorgestellten Ansätze für die </w:t>
      </w:r>
      <w:r w:rsidRPr="004F0D02">
        <w:rPr>
          <w:rFonts w:ascii="HelveticaNeueLT Pro 55 Roman" w:hAnsi="HelveticaNeueLT Pro 55 Roman"/>
        </w:rPr>
        <w:t xml:space="preserve">landwirtschaftliche Produktion zukunftssicher </w:t>
      </w:r>
      <w:r w:rsidR="00DE12E4">
        <w:rPr>
          <w:rFonts w:ascii="HelveticaNeueLT Pro 55 Roman" w:hAnsi="HelveticaNeueLT Pro 55 Roman"/>
        </w:rPr>
        <w:t xml:space="preserve">zu </w:t>
      </w:r>
      <w:r w:rsidRPr="004F0D02">
        <w:rPr>
          <w:rFonts w:ascii="HelveticaNeueLT Pro 55 Roman" w:hAnsi="HelveticaNeueLT Pro 55 Roman"/>
        </w:rPr>
        <w:t>mach</w:t>
      </w:r>
      <w:r w:rsidR="00DE12E4">
        <w:rPr>
          <w:rFonts w:ascii="HelveticaNeueLT Pro 55 Roman" w:hAnsi="HelveticaNeueLT Pro 55 Roman"/>
        </w:rPr>
        <w:t>en</w:t>
      </w:r>
      <w:r w:rsidRPr="004F0D02">
        <w:rPr>
          <w:rFonts w:ascii="HelveticaNeueLT Pro 55 Roman" w:hAnsi="HelveticaNeueLT Pro 55 Roman"/>
        </w:rPr>
        <w:t xml:space="preserve">. </w:t>
      </w:r>
      <w:r w:rsidR="00DE12E4">
        <w:rPr>
          <w:rFonts w:ascii="HelveticaNeueLT Pro 55 Roman" w:hAnsi="HelveticaNeueLT Pro 55 Roman"/>
        </w:rPr>
        <w:t>Am Anfang können dabei unterstützende M</w:t>
      </w:r>
      <w:r w:rsidRPr="004F0D02">
        <w:rPr>
          <w:rFonts w:ascii="HelveticaNeueLT Pro 55 Roman" w:hAnsi="HelveticaNeueLT Pro 55 Roman"/>
        </w:rPr>
        <w:t xml:space="preserve">aßnahmen </w:t>
      </w:r>
      <w:r w:rsidR="00DE12E4">
        <w:rPr>
          <w:rFonts w:ascii="HelveticaNeueLT Pro 55 Roman" w:hAnsi="HelveticaNeueLT Pro 55 Roman"/>
        </w:rPr>
        <w:t>stehen, wie Demonstrations- und</w:t>
      </w:r>
      <w:r w:rsidRPr="004F0D02">
        <w:rPr>
          <w:rFonts w:ascii="HelveticaNeueLT Pro 55 Roman" w:hAnsi="HelveticaNeueLT Pro 55 Roman"/>
        </w:rPr>
        <w:t xml:space="preserve"> Forschungsprojekte für neue Technologien und </w:t>
      </w:r>
      <w:r w:rsidR="00DE12E4">
        <w:rPr>
          <w:rFonts w:ascii="HelveticaNeueLT Pro 55 Roman" w:hAnsi="HelveticaNeueLT Pro 55 Roman"/>
        </w:rPr>
        <w:t>Instrumente</w:t>
      </w:r>
      <w:r w:rsidRPr="004F0D02">
        <w:rPr>
          <w:rFonts w:ascii="HelveticaNeueLT Pro 55 Roman" w:hAnsi="HelveticaNeueLT Pro 55 Roman"/>
        </w:rPr>
        <w:t>, die Tierkrankheiten verhindern und den Tierschutz verbessern können.</w:t>
      </w:r>
    </w:p>
    <w:p w:rsidR="00B45D38" w:rsidRPr="004F0D02" w:rsidRDefault="00B45D38" w:rsidP="004F0D02">
      <w:pPr>
        <w:spacing w:line="276" w:lineRule="auto"/>
        <w:rPr>
          <w:rFonts w:ascii="HelveticaNeueLT Pro 55 Roman" w:hAnsi="HelveticaNeueLT Pro 55 Roman"/>
        </w:rPr>
      </w:pPr>
    </w:p>
    <w:p w:rsidR="00B45D38" w:rsidRPr="004F0D02" w:rsidRDefault="00B45D38" w:rsidP="004F0D02">
      <w:pPr>
        <w:spacing w:line="276" w:lineRule="auto"/>
        <w:ind w:left="708"/>
        <w:rPr>
          <w:rFonts w:ascii="HelveticaNeueLT Pro 55 Roman" w:hAnsi="HelveticaNeueLT Pro 55 Roman"/>
          <w:b/>
        </w:rPr>
      </w:pPr>
      <w:r w:rsidRPr="004F0D02">
        <w:rPr>
          <w:rFonts w:ascii="HelveticaNeueLT Pro 55 Roman" w:hAnsi="HelveticaNeueLT Pro 55 Roman"/>
          <w:b/>
        </w:rPr>
        <w:t>2. Krankheitsvorbeuge</w:t>
      </w:r>
    </w:p>
    <w:p w:rsidR="00B45D38" w:rsidRPr="004F0D02" w:rsidRDefault="00B45D38" w:rsidP="004F0D02">
      <w:pPr>
        <w:spacing w:line="276" w:lineRule="auto"/>
        <w:rPr>
          <w:rFonts w:ascii="HelveticaNeueLT Pro 55 Roman" w:hAnsi="HelveticaNeueLT Pro 55 Roman"/>
        </w:rPr>
      </w:pPr>
    </w:p>
    <w:p w:rsidR="00EC3A21" w:rsidRDefault="00EC3A21" w:rsidP="004F0D02">
      <w:pPr>
        <w:spacing w:line="276" w:lineRule="auto"/>
        <w:rPr>
          <w:rFonts w:ascii="HelveticaNeueLT Pro 55 Roman" w:hAnsi="HelveticaNeueLT Pro 55 Roman"/>
        </w:rPr>
      </w:pPr>
      <w:r w:rsidRPr="004F0D02">
        <w:rPr>
          <w:rFonts w:ascii="HelveticaNeueLT Pro 55 Roman" w:hAnsi="HelveticaNeueLT Pro 55 Roman"/>
          <w:b/>
        </w:rPr>
        <w:t>Wie wir einen Beitrag leisten können:</w:t>
      </w:r>
      <w:r w:rsidRPr="004F0D02">
        <w:rPr>
          <w:rFonts w:ascii="HelveticaNeueLT Pro 55 Roman" w:hAnsi="HelveticaNeueLT Pro 55 Roman"/>
        </w:rPr>
        <w:t xml:space="preserve"> Die Unterstützung der Landwirte mit den nötigen Mitteln für gute Hygiene und Biosicherheit </w:t>
      </w:r>
      <w:r w:rsidR="00AA5B52">
        <w:rPr>
          <w:rFonts w:ascii="HelveticaNeueLT Pro 55 Roman" w:hAnsi="HelveticaNeueLT Pro 55 Roman"/>
        </w:rPr>
        <w:t>ist ein</w:t>
      </w:r>
      <w:r w:rsidRPr="004F0D02">
        <w:rPr>
          <w:rFonts w:ascii="HelveticaNeueLT Pro 55 Roman" w:hAnsi="HelveticaNeueLT Pro 55 Roman"/>
        </w:rPr>
        <w:t xml:space="preserve"> erster Schritt zur Vermeidung von Infektion</w:t>
      </w:r>
      <w:r w:rsidR="00AA5B52">
        <w:rPr>
          <w:rFonts w:ascii="HelveticaNeueLT Pro 55 Roman" w:hAnsi="HelveticaNeueLT Pro 55 Roman"/>
        </w:rPr>
        <w:t>en</w:t>
      </w:r>
      <w:r w:rsidRPr="004F0D02">
        <w:rPr>
          <w:rFonts w:ascii="HelveticaNeueLT Pro 55 Roman" w:hAnsi="HelveticaNeueLT Pro 55 Roman"/>
        </w:rPr>
        <w:t xml:space="preserve">. Die Krankheitsvorbeuge wird durch die Bereitstellung qualitativ hochwertiger, wirksamer Impfstoffe erheblich verbessert. Wenn Landwirte vorbeugende Maßnahmen wie Impfung und </w:t>
      </w:r>
      <w:r w:rsidR="00AA5B52">
        <w:rPr>
          <w:rFonts w:ascii="HelveticaNeueLT Pro 55 Roman" w:hAnsi="HelveticaNeueLT Pro 55 Roman"/>
        </w:rPr>
        <w:t xml:space="preserve">zur </w:t>
      </w:r>
      <w:r w:rsidRPr="004F0D02">
        <w:rPr>
          <w:rFonts w:ascii="HelveticaNeueLT Pro 55 Roman" w:hAnsi="HelveticaNeueLT Pro 55 Roman"/>
        </w:rPr>
        <w:t xml:space="preserve">Biosicherheit ergreifen, trägt dies zu </w:t>
      </w:r>
      <w:r w:rsidR="00201149">
        <w:rPr>
          <w:rFonts w:ascii="HelveticaNeueLT Pro 55 Roman" w:hAnsi="HelveticaNeueLT Pro 55 Roman"/>
        </w:rPr>
        <w:t>einer effizienten Betrieb</w:t>
      </w:r>
      <w:r w:rsidR="00AA5B52">
        <w:rPr>
          <w:rFonts w:ascii="HelveticaNeueLT Pro 55 Roman" w:hAnsi="HelveticaNeueLT Pro 55 Roman"/>
        </w:rPr>
        <w:t>s</w:t>
      </w:r>
      <w:r w:rsidR="00201149">
        <w:rPr>
          <w:rFonts w:ascii="HelveticaNeueLT Pro 55 Roman" w:hAnsi="HelveticaNeueLT Pro 55 Roman"/>
        </w:rPr>
        <w:t>führung</w:t>
      </w:r>
      <w:r w:rsidRPr="004F0D02">
        <w:rPr>
          <w:rFonts w:ascii="HelveticaNeueLT Pro 55 Roman" w:hAnsi="HelveticaNeueLT Pro 55 Roman"/>
        </w:rPr>
        <w:t xml:space="preserve"> aus Sicht des Tierschutzes, der Wirtschaftlichkeit und der Umwelt bei.</w:t>
      </w:r>
    </w:p>
    <w:p w:rsidR="00AA5B52" w:rsidRPr="004F0D02" w:rsidRDefault="00AA5B52" w:rsidP="004F0D02">
      <w:pPr>
        <w:spacing w:line="276" w:lineRule="auto"/>
        <w:rPr>
          <w:rFonts w:ascii="HelveticaNeueLT Pro 55 Roman" w:hAnsi="HelveticaNeueLT Pro 55 Roman"/>
        </w:rPr>
      </w:pPr>
    </w:p>
    <w:p w:rsidR="00EC3A21" w:rsidRPr="004F0D02" w:rsidRDefault="00EC3A21" w:rsidP="004F0D02">
      <w:pPr>
        <w:spacing w:line="276" w:lineRule="auto"/>
        <w:rPr>
          <w:rFonts w:ascii="HelveticaNeueLT Pro 55 Roman" w:hAnsi="HelveticaNeueLT Pro 55 Roman"/>
        </w:rPr>
      </w:pPr>
      <w:r w:rsidRPr="004F0D02">
        <w:rPr>
          <w:rFonts w:ascii="HelveticaNeueLT Pro 55 Roman" w:hAnsi="HelveticaNeueLT Pro 55 Roman"/>
        </w:rPr>
        <w:t>Der Schutz der Tiere vor Krankheiten verhindert auch die Übertragung und verlangsamt die weitere Ausbreitung.</w:t>
      </w:r>
    </w:p>
    <w:p w:rsidR="00EC3A21" w:rsidRPr="004F0D02" w:rsidRDefault="00EC3A21" w:rsidP="004F0D02">
      <w:pPr>
        <w:spacing w:line="276" w:lineRule="auto"/>
        <w:rPr>
          <w:rFonts w:ascii="HelveticaNeueLT Pro 55 Roman" w:hAnsi="HelveticaNeueLT Pro 55 Roman"/>
        </w:rPr>
      </w:pPr>
    </w:p>
    <w:p w:rsidR="00B45D38" w:rsidRPr="004F0D02" w:rsidRDefault="00EC3A21" w:rsidP="004F0D02">
      <w:pPr>
        <w:spacing w:line="276" w:lineRule="auto"/>
        <w:rPr>
          <w:rFonts w:ascii="HelveticaNeueLT Pro 55 Roman" w:hAnsi="HelveticaNeueLT Pro 55 Roman"/>
        </w:rPr>
      </w:pPr>
      <w:r w:rsidRPr="004F0D02">
        <w:rPr>
          <w:rFonts w:ascii="HelveticaNeueLT Pro 55 Roman" w:hAnsi="HelveticaNeueLT Pro 55 Roman"/>
          <w:b/>
        </w:rPr>
        <w:t>Unsere Bitte:</w:t>
      </w:r>
      <w:r w:rsidRPr="004F0D02">
        <w:rPr>
          <w:rFonts w:ascii="HelveticaNeueLT Pro 55 Roman" w:hAnsi="HelveticaNeueLT Pro 55 Roman"/>
        </w:rPr>
        <w:t xml:space="preserve"> Durch Zusammenarbeit von Industrie und Behörden kann schnell reagiert werden, um die Übertragung </w:t>
      </w:r>
      <w:r w:rsidR="00AA5B52">
        <w:rPr>
          <w:rFonts w:ascii="HelveticaNeueLT Pro 55 Roman" w:hAnsi="HelveticaNeueLT Pro 55 Roman"/>
        </w:rPr>
        <w:t xml:space="preserve">und Verbreitung </w:t>
      </w:r>
      <w:r w:rsidRPr="004F0D02">
        <w:rPr>
          <w:rFonts w:ascii="HelveticaNeueLT Pro 55 Roman" w:hAnsi="HelveticaNeueLT Pro 55 Roman"/>
        </w:rPr>
        <w:t xml:space="preserve">bestehender und neu auftretender </w:t>
      </w:r>
      <w:r w:rsidR="00AA5B52">
        <w:rPr>
          <w:rFonts w:ascii="HelveticaNeueLT Pro 55 Roman" w:hAnsi="HelveticaNeueLT Pro 55 Roman"/>
        </w:rPr>
        <w:t>Infektionsk</w:t>
      </w:r>
      <w:r w:rsidRPr="004F0D02">
        <w:rPr>
          <w:rFonts w:ascii="HelveticaNeueLT Pro 55 Roman" w:hAnsi="HelveticaNeueLT Pro 55 Roman"/>
        </w:rPr>
        <w:t xml:space="preserve">rankheiten zu stoppen oder zu verlangsamen, und zwar durch die Einrichtung von Impfstoffbanken und/oder die rasche Zulassung von Impfstoffen im Falle von Krankheitsausbrüchen. Prioritäre Investitionen auf nationaler und europäischer Ebene in innovative frühe Forschung durch Finanzierung der Programme wie </w:t>
      </w:r>
      <w:proofErr w:type="spellStart"/>
      <w:r w:rsidRPr="004F0D02">
        <w:rPr>
          <w:rFonts w:ascii="HelveticaNeueLT Pro 55 Roman" w:hAnsi="HelveticaNeueLT Pro 55 Roman"/>
        </w:rPr>
        <w:t>Horizon</w:t>
      </w:r>
      <w:proofErr w:type="spellEnd"/>
      <w:r w:rsidRPr="004F0D02">
        <w:rPr>
          <w:rFonts w:ascii="HelveticaNeueLT Pro 55 Roman" w:hAnsi="HelveticaNeueLT Pro 55 Roman"/>
        </w:rPr>
        <w:t xml:space="preserve"> Europe können auch dringend</w:t>
      </w:r>
      <w:r w:rsidR="00AA5B52">
        <w:rPr>
          <w:rFonts w:ascii="HelveticaNeueLT Pro 55 Roman" w:hAnsi="HelveticaNeueLT Pro 55 Roman"/>
        </w:rPr>
        <w:t xml:space="preserve"> benötigte F&amp;E-</w:t>
      </w:r>
      <w:r w:rsidRPr="004F0D02">
        <w:rPr>
          <w:rFonts w:ascii="HelveticaNeueLT Pro 55 Roman" w:hAnsi="HelveticaNeueLT Pro 55 Roman"/>
        </w:rPr>
        <w:t>Projekte unterstützen, um neue Generationen von Impfstoffen und anderen Therapien für die Gesundheit von Mensch und Tier zu entwickeln.</w:t>
      </w:r>
    </w:p>
    <w:p w:rsidR="00BB2BE2" w:rsidRPr="004F0D02" w:rsidRDefault="00BB2BE2" w:rsidP="004F0D02">
      <w:pPr>
        <w:spacing w:line="276" w:lineRule="auto"/>
        <w:rPr>
          <w:rFonts w:ascii="HelveticaNeueLT Pro 55 Roman" w:hAnsi="HelveticaNeueLT Pro 55 Roman"/>
        </w:rPr>
      </w:pPr>
    </w:p>
    <w:p w:rsidR="00B45D38" w:rsidRPr="004F0D02" w:rsidRDefault="00B45D38" w:rsidP="004F0D02">
      <w:pPr>
        <w:spacing w:line="276" w:lineRule="auto"/>
        <w:ind w:left="708"/>
        <w:rPr>
          <w:rFonts w:ascii="HelveticaNeueLT Pro 55 Roman" w:hAnsi="HelveticaNeueLT Pro 55 Roman"/>
          <w:b/>
        </w:rPr>
      </w:pPr>
      <w:r w:rsidRPr="004F0D02">
        <w:rPr>
          <w:rFonts w:ascii="HelveticaNeueLT Pro 55 Roman" w:hAnsi="HelveticaNeueLT Pro 55 Roman"/>
          <w:b/>
        </w:rPr>
        <w:t>3. Krankheitserkennung und -vorsorge</w:t>
      </w:r>
    </w:p>
    <w:p w:rsidR="00B45D38" w:rsidRPr="004F0D02" w:rsidRDefault="00B45D38" w:rsidP="004F0D02">
      <w:pPr>
        <w:spacing w:line="276" w:lineRule="auto"/>
        <w:rPr>
          <w:rFonts w:ascii="HelveticaNeueLT Pro 55 Roman" w:hAnsi="HelveticaNeueLT Pro 55 Roman"/>
        </w:rPr>
      </w:pPr>
    </w:p>
    <w:p w:rsidR="00B45D38" w:rsidRPr="004F0D02" w:rsidRDefault="00EC3A21" w:rsidP="004F0D02">
      <w:pPr>
        <w:spacing w:line="276" w:lineRule="auto"/>
        <w:rPr>
          <w:rFonts w:ascii="HelveticaNeueLT Pro 55 Roman" w:hAnsi="HelveticaNeueLT Pro 55 Roman"/>
        </w:rPr>
      </w:pPr>
      <w:r w:rsidRPr="004F0D02">
        <w:rPr>
          <w:rFonts w:ascii="HelveticaNeueLT Pro 55 Roman" w:hAnsi="HelveticaNeueLT Pro 55 Roman"/>
          <w:b/>
        </w:rPr>
        <w:t>Wie wir einen Beitrag leisten können:</w:t>
      </w:r>
      <w:r w:rsidRPr="004F0D02">
        <w:rPr>
          <w:rFonts w:ascii="HelveticaNeueLT Pro 55 Roman" w:hAnsi="HelveticaNeueLT Pro 55 Roman"/>
        </w:rPr>
        <w:t xml:space="preserve"> Digitale </w:t>
      </w:r>
      <w:r w:rsidR="00AA5B52">
        <w:rPr>
          <w:rFonts w:ascii="HelveticaNeueLT Pro 55 Roman" w:hAnsi="HelveticaNeueLT Pro 55 Roman"/>
        </w:rPr>
        <w:t>Lösungen</w:t>
      </w:r>
      <w:r w:rsidRPr="004F0D02">
        <w:rPr>
          <w:rFonts w:ascii="HelveticaNeueLT Pro 55 Roman" w:hAnsi="HelveticaNeueLT Pro 55 Roman"/>
        </w:rPr>
        <w:t xml:space="preserve"> ermöglichen </w:t>
      </w:r>
      <w:r w:rsidR="00AA5B52">
        <w:rPr>
          <w:rFonts w:ascii="HelveticaNeueLT Pro 55 Roman" w:hAnsi="HelveticaNeueLT Pro 55 Roman"/>
        </w:rPr>
        <w:t xml:space="preserve">heute </w:t>
      </w:r>
      <w:r w:rsidRPr="004F0D02">
        <w:rPr>
          <w:rFonts w:ascii="HelveticaNeueLT Pro 55 Roman" w:hAnsi="HelveticaNeueLT Pro 55 Roman"/>
        </w:rPr>
        <w:t xml:space="preserve">eine Echtzeit-Überwachung des physischen Zustands des Tieres und </w:t>
      </w:r>
      <w:r w:rsidR="00AC45DB">
        <w:rPr>
          <w:rFonts w:ascii="HelveticaNeueLT Pro 55 Roman" w:hAnsi="HelveticaNeueLT Pro 55 Roman"/>
        </w:rPr>
        <w:t>helfen damit Tierärzten und Landwirten</w:t>
      </w:r>
      <w:r w:rsidRPr="004F0D02">
        <w:rPr>
          <w:rFonts w:ascii="HelveticaNeueLT Pro 55 Roman" w:hAnsi="HelveticaNeueLT Pro 55 Roman"/>
        </w:rPr>
        <w:t xml:space="preserve">, die Tiere vor Krankheiten zu schützen, das Wohlergehen der Tiere zu fördern und eine nachhaltige Nutztierhaltung zu unterstützen. Die Anwendung dieser innovativen Lösungen heißt auch, dass der Landwirt Krankheitsanzeichen leicht erkennen kann, was einen gezielteren Einsatz </w:t>
      </w:r>
      <w:r w:rsidR="00AC45DB">
        <w:rPr>
          <w:rFonts w:ascii="HelveticaNeueLT Pro 55 Roman" w:hAnsi="HelveticaNeueLT Pro 55 Roman"/>
        </w:rPr>
        <w:t>der</w:t>
      </w:r>
      <w:r w:rsidRPr="004F0D02">
        <w:rPr>
          <w:rFonts w:ascii="HelveticaNeueLT Pro 55 Roman" w:hAnsi="HelveticaNeueLT Pro 55 Roman"/>
        </w:rPr>
        <w:t xml:space="preserve"> </w:t>
      </w:r>
      <w:r w:rsidRPr="004F0D02">
        <w:rPr>
          <w:rFonts w:ascii="HelveticaNeueLT Pro 55 Roman" w:hAnsi="HelveticaNeueLT Pro 55 Roman"/>
        </w:rPr>
        <w:lastRenderedPageBreak/>
        <w:t xml:space="preserve">Behandlungsmöglichkeiten erlaubt. </w:t>
      </w:r>
      <w:r w:rsidR="00AC45DB">
        <w:rPr>
          <w:rFonts w:ascii="HelveticaNeueLT Pro 55 Roman" w:hAnsi="HelveticaNeueLT Pro 55 Roman"/>
        </w:rPr>
        <w:t xml:space="preserve">Die Entwicklung </w:t>
      </w:r>
      <w:r w:rsidRPr="004F0D02">
        <w:rPr>
          <w:rFonts w:ascii="HelveticaNeueLT Pro 55 Roman" w:hAnsi="HelveticaNeueLT Pro 55 Roman"/>
        </w:rPr>
        <w:t>neue</w:t>
      </w:r>
      <w:r w:rsidR="00AC45DB">
        <w:rPr>
          <w:rFonts w:ascii="HelveticaNeueLT Pro 55 Roman" w:hAnsi="HelveticaNeueLT Pro 55 Roman"/>
        </w:rPr>
        <w:t>r</w:t>
      </w:r>
      <w:r w:rsidRPr="004F0D02">
        <w:rPr>
          <w:rFonts w:ascii="HelveticaNeueLT Pro 55 Roman" w:hAnsi="HelveticaNeueLT Pro 55 Roman"/>
        </w:rPr>
        <w:t xml:space="preserve"> Technologien </w:t>
      </w:r>
      <w:r w:rsidR="00AC45DB">
        <w:rPr>
          <w:rFonts w:ascii="HelveticaNeueLT Pro 55 Roman" w:hAnsi="HelveticaNeueLT Pro 55 Roman"/>
        </w:rPr>
        <w:t xml:space="preserve">wird sich fortsetzen und damit </w:t>
      </w:r>
      <w:r w:rsidRPr="004F0D02">
        <w:rPr>
          <w:rFonts w:ascii="HelveticaNeueLT Pro 55 Roman" w:hAnsi="HelveticaNeueLT Pro 55 Roman"/>
        </w:rPr>
        <w:t xml:space="preserve">eine schnelle Diagnose </w:t>
      </w:r>
      <w:r w:rsidR="00AC45DB">
        <w:rPr>
          <w:rFonts w:ascii="HelveticaNeueLT Pro 55 Roman" w:hAnsi="HelveticaNeueLT Pro 55 Roman"/>
        </w:rPr>
        <w:t>von</w:t>
      </w:r>
      <w:r w:rsidRPr="004F0D02">
        <w:rPr>
          <w:rFonts w:ascii="HelveticaNeueLT Pro 55 Roman" w:hAnsi="HelveticaNeueLT Pro 55 Roman"/>
        </w:rPr>
        <w:t xml:space="preserve"> Krankheiten im landwirtschaftlichen Betrieb ermöglichen. </w:t>
      </w:r>
      <w:r w:rsidR="00AC45DB">
        <w:rPr>
          <w:rFonts w:ascii="HelveticaNeueLT Pro 55 Roman" w:hAnsi="HelveticaNeueLT Pro 55 Roman"/>
        </w:rPr>
        <w:t xml:space="preserve">Die Expertise in der Labordiagnostik sowie </w:t>
      </w:r>
      <w:r w:rsidRPr="004F0D02">
        <w:rPr>
          <w:rFonts w:ascii="HelveticaNeueLT Pro 55 Roman" w:hAnsi="HelveticaNeueLT Pro 55 Roman"/>
        </w:rPr>
        <w:t xml:space="preserve">die Fähigkeit, komplexe klinische Fälle zu untersuchen, werden </w:t>
      </w:r>
      <w:r w:rsidR="00AC45DB">
        <w:rPr>
          <w:rFonts w:ascii="HelveticaNeueLT Pro 55 Roman" w:hAnsi="HelveticaNeueLT Pro 55 Roman"/>
        </w:rPr>
        <w:t xml:space="preserve">auch </w:t>
      </w:r>
      <w:r w:rsidRPr="004F0D02">
        <w:rPr>
          <w:rFonts w:ascii="HelveticaNeueLT Pro 55 Roman" w:hAnsi="HelveticaNeueLT Pro 55 Roman"/>
        </w:rPr>
        <w:t xml:space="preserve">weiterhin </w:t>
      </w:r>
      <w:r w:rsidR="00AC45DB">
        <w:rPr>
          <w:rFonts w:ascii="HelveticaNeueLT Pro 55 Roman" w:hAnsi="HelveticaNeueLT Pro 55 Roman"/>
        </w:rPr>
        <w:t>unverzichtbar</w:t>
      </w:r>
      <w:r w:rsidRPr="004F0D02">
        <w:rPr>
          <w:rFonts w:ascii="HelveticaNeueLT Pro 55 Roman" w:hAnsi="HelveticaNeueLT Pro 55 Roman"/>
        </w:rPr>
        <w:t xml:space="preserve"> sein.</w:t>
      </w:r>
    </w:p>
    <w:p w:rsidR="00B45D38" w:rsidRPr="004F0D02" w:rsidRDefault="00B45D38" w:rsidP="004F0D02">
      <w:pPr>
        <w:spacing w:line="276" w:lineRule="auto"/>
        <w:rPr>
          <w:rFonts w:ascii="HelveticaNeueLT Pro 55 Roman" w:hAnsi="HelveticaNeueLT Pro 55 Roman"/>
        </w:rPr>
      </w:pPr>
    </w:p>
    <w:p w:rsidR="00212FF5" w:rsidRPr="004F0D02" w:rsidRDefault="00CE55E1" w:rsidP="004F0D02">
      <w:pPr>
        <w:autoSpaceDE w:val="0"/>
        <w:autoSpaceDN w:val="0"/>
        <w:adjustRightInd w:val="0"/>
        <w:spacing w:line="276" w:lineRule="auto"/>
        <w:rPr>
          <w:rFonts w:ascii="HelveticaNeueLT Pro 55 Roman" w:hAnsi="HelveticaNeueLT Pro 55 Roman"/>
        </w:rPr>
      </w:pPr>
      <w:r w:rsidRPr="004F0D02">
        <w:rPr>
          <w:rFonts w:ascii="HelveticaNeueLT Pro 55 Roman" w:hAnsi="HelveticaNeueLT Pro 55 Roman"/>
          <w:b/>
        </w:rPr>
        <w:t>Unsere Bitte:</w:t>
      </w:r>
      <w:r w:rsidRPr="004F0D02">
        <w:rPr>
          <w:rFonts w:ascii="HelveticaNeueLT Pro 55 Roman" w:hAnsi="HelveticaNeueLT Pro 55 Roman"/>
        </w:rPr>
        <w:t xml:space="preserve"> Es ist von zentraler Bedeutung, dass neue Technologien breite Akzeptanz finden und dass genügend Mittel bereitgestellt werden, um sicherzustellen, dass die Landwirte mit de</w:t>
      </w:r>
      <w:r w:rsidR="00AC45DB">
        <w:rPr>
          <w:rFonts w:ascii="HelveticaNeueLT Pro 55 Roman" w:hAnsi="HelveticaNeueLT Pro 55 Roman"/>
        </w:rPr>
        <w:t xml:space="preserve">m notwendigen Handwerkszeug </w:t>
      </w:r>
      <w:r w:rsidRPr="004F0D02">
        <w:rPr>
          <w:rFonts w:ascii="HelveticaNeueLT Pro 55 Roman" w:hAnsi="HelveticaNeueLT Pro 55 Roman"/>
        </w:rPr>
        <w:t>ausgestattet sind, die ihnen die Arbeit erleichtern und gleichzeitig das Wohlbefinden der Tiere fördern. Wichtig ist ebenfalls, dass die Landwirte eine angemessene Schulung in der Anwendung dieser Technologien erhalten. Die neue Strategie sollte daher diese Technologien fördern und die Landwirte bei der Umstellung unterstützen, damit sie dieses breite Spektrum an Möglichkeiten auch voll ausschöpfen können.</w:t>
      </w:r>
    </w:p>
    <w:p w:rsidR="00B45D38" w:rsidRPr="004F0D02" w:rsidRDefault="00B45D38" w:rsidP="004F0D02">
      <w:pPr>
        <w:spacing w:line="276" w:lineRule="auto"/>
        <w:rPr>
          <w:rFonts w:ascii="HelveticaNeueLT Pro 55 Roman" w:hAnsi="HelveticaNeueLT Pro 55 Roman"/>
        </w:rPr>
      </w:pPr>
    </w:p>
    <w:tbl>
      <w:tblPr>
        <w:tblStyle w:val="HelleListe-Akzent3"/>
        <w:tblW w:w="0" w:type="auto"/>
        <w:tblLook w:val="04A0" w:firstRow="1" w:lastRow="0" w:firstColumn="1" w:lastColumn="0" w:noHBand="0" w:noVBand="1"/>
      </w:tblPr>
      <w:tblGrid>
        <w:gridCol w:w="1851"/>
        <w:gridCol w:w="7429"/>
      </w:tblGrid>
      <w:tr w:rsidR="00212FF5" w:rsidRPr="004F0D02" w:rsidTr="001C1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212FF5" w:rsidRPr="004F0D02" w:rsidRDefault="00212FF5" w:rsidP="004F0D02">
            <w:pPr>
              <w:spacing w:line="276" w:lineRule="auto"/>
              <w:rPr>
                <w:rFonts w:ascii="HelveticaNeueLT Pro 55 Roman" w:hAnsi="HelveticaNeueLT Pro 55 Roman"/>
              </w:rPr>
            </w:pPr>
          </w:p>
        </w:tc>
        <w:tc>
          <w:tcPr>
            <w:tcW w:w="7437" w:type="dxa"/>
          </w:tcPr>
          <w:p w:rsidR="00CB3F9B" w:rsidRPr="004F0D02" w:rsidRDefault="00CB3F9B" w:rsidP="004F0D02">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HelveticaNeueLT Pro 55 Roman" w:hAnsi="HelveticaNeueLT Pro 55 Roman" w:cs="Trebuchet MS"/>
                <w:b w:val="0"/>
                <w:bCs w:val="0"/>
                <w:color w:val="000000"/>
              </w:rPr>
            </w:pPr>
            <w:r w:rsidRPr="004F0D02">
              <w:rPr>
                <w:rFonts w:ascii="HelveticaNeueLT Pro 55 Roman" w:hAnsi="HelveticaNeueLT Pro 55 Roman"/>
              </w:rPr>
              <w:t>Beispiele für Innovationen in der Tiergesundheit</w:t>
            </w:r>
          </w:p>
          <w:p w:rsidR="00212FF5" w:rsidRPr="004F0D02" w:rsidRDefault="00212FF5" w:rsidP="004F0D02">
            <w:pPr>
              <w:spacing w:line="276" w:lineRule="auto"/>
              <w:cnfStyle w:val="100000000000" w:firstRow="1" w:lastRow="0" w:firstColumn="0" w:lastColumn="0" w:oddVBand="0" w:evenVBand="0" w:oddHBand="0" w:evenHBand="0" w:firstRowFirstColumn="0" w:firstRowLastColumn="0" w:lastRowFirstColumn="0" w:lastRowLastColumn="0"/>
              <w:rPr>
                <w:rFonts w:ascii="HelveticaNeueLT Pro 55 Roman" w:hAnsi="HelveticaNeueLT Pro 55 Roman"/>
              </w:rPr>
            </w:pPr>
          </w:p>
        </w:tc>
      </w:tr>
      <w:tr w:rsidR="00212FF5" w:rsidRPr="004F0D02" w:rsidTr="001C1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8C0B0F" w:rsidRPr="004F0D02" w:rsidRDefault="008C0B0F" w:rsidP="004F0D02">
            <w:pPr>
              <w:spacing w:line="276" w:lineRule="auto"/>
              <w:rPr>
                <w:rFonts w:ascii="HelveticaNeueLT Pro 55 Roman" w:hAnsi="HelveticaNeueLT Pro 55 Roman"/>
              </w:rPr>
            </w:pPr>
            <w:r w:rsidRPr="004F0D02">
              <w:rPr>
                <w:rFonts w:ascii="HelveticaNeueLT Pro 55 Roman" w:hAnsi="HelveticaNeueLT Pro 55 Roman"/>
              </w:rPr>
              <w:t>Präzisions-</w:t>
            </w:r>
          </w:p>
          <w:p w:rsidR="00212FF5" w:rsidRPr="004F0D02" w:rsidRDefault="008C0B0F" w:rsidP="004F0D02">
            <w:pPr>
              <w:spacing w:line="276" w:lineRule="auto"/>
              <w:rPr>
                <w:rFonts w:ascii="HelveticaNeueLT Pro 55 Roman" w:hAnsi="HelveticaNeueLT Pro 55 Roman"/>
              </w:rPr>
            </w:pPr>
            <w:proofErr w:type="spellStart"/>
            <w:r w:rsidRPr="004F0D02">
              <w:rPr>
                <w:rFonts w:ascii="HelveticaNeueLT Pro 55 Roman" w:hAnsi="HelveticaNeueLT Pro 55 Roman"/>
              </w:rPr>
              <w:t>landwirtschaft</w:t>
            </w:r>
            <w:proofErr w:type="spellEnd"/>
          </w:p>
        </w:tc>
        <w:tc>
          <w:tcPr>
            <w:tcW w:w="7437" w:type="dxa"/>
          </w:tcPr>
          <w:p w:rsidR="00212FF5" w:rsidRPr="004F0D02" w:rsidRDefault="008C0B0F" w:rsidP="00B143D3">
            <w:pPr>
              <w:spacing w:line="276" w:lineRule="auto"/>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rPr>
            </w:pPr>
            <w:r w:rsidRPr="004F0D02">
              <w:rPr>
                <w:rFonts w:ascii="HelveticaNeueLT Pro 55 Roman" w:hAnsi="HelveticaNeueLT Pro 55 Roman"/>
              </w:rPr>
              <w:t>Zahlreiche Technologien, darunter</w:t>
            </w:r>
            <w:r w:rsidR="00AC45DB">
              <w:rPr>
                <w:rFonts w:ascii="HelveticaNeueLT Pro 55 Roman" w:hAnsi="HelveticaNeueLT Pro 55 Roman"/>
              </w:rPr>
              <w:t xml:space="preserve"> unter anderem</w:t>
            </w:r>
            <w:r w:rsidRPr="004F0D02">
              <w:rPr>
                <w:rFonts w:ascii="HelveticaNeueLT Pro 55 Roman" w:hAnsi="HelveticaNeueLT Pro 55 Roman"/>
              </w:rPr>
              <w:t xml:space="preserve"> </w:t>
            </w:r>
            <w:proofErr w:type="spellStart"/>
            <w:r w:rsidRPr="004F0D02">
              <w:rPr>
                <w:rFonts w:ascii="HelveticaNeueLT Pro 55 Roman" w:hAnsi="HelveticaNeueLT Pro 55 Roman"/>
              </w:rPr>
              <w:t>Gen</w:t>
            </w:r>
            <w:r w:rsidR="00AC45DB">
              <w:rPr>
                <w:rFonts w:ascii="HelveticaNeueLT Pro 55 Roman" w:hAnsi="HelveticaNeueLT Pro 55 Roman"/>
              </w:rPr>
              <w:t>omik</w:t>
            </w:r>
            <w:proofErr w:type="spellEnd"/>
            <w:r w:rsidRPr="004F0D02">
              <w:rPr>
                <w:rFonts w:ascii="HelveticaNeueLT Pro 55 Roman" w:hAnsi="HelveticaNeueLT Pro 55 Roman"/>
              </w:rPr>
              <w:t xml:space="preserve">, Diagnostik, Sensoren. </w:t>
            </w:r>
            <w:r w:rsidR="00AC45DB">
              <w:rPr>
                <w:rFonts w:ascii="HelveticaNeueLT Pro 55 Roman" w:hAnsi="HelveticaNeueLT Pro 55 Roman"/>
              </w:rPr>
              <w:br/>
            </w:r>
            <w:r w:rsidRPr="004F0D02">
              <w:rPr>
                <w:rFonts w:ascii="HelveticaNeueLT Pro 55 Roman" w:hAnsi="HelveticaNeueLT Pro 55 Roman"/>
              </w:rPr>
              <w:t>Präzisionstechnologie für die Nutztierhaltung trägt zu einer nachhaltigeren Tierhaltung bei. Die Tiergesundheitsindustrie bietet ein breites Spektrum an Lösungen zur Verbesserung der Tiergesundheit und des Wohlbefindens der Tiere sowie der Produktivität an und arbeitet weiter daran.</w:t>
            </w:r>
          </w:p>
        </w:tc>
      </w:tr>
      <w:tr w:rsidR="00212FF5" w:rsidRPr="004F0D02" w:rsidTr="001C12C7">
        <w:tc>
          <w:tcPr>
            <w:cnfStyle w:val="001000000000" w:firstRow="0" w:lastRow="0" w:firstColumn="1" w:lastColumn="0" w:oddVBand="0" w:evenVBand="0" w:oddHBand="0" w:evenHBand="0" w:firstRowFirstColumn="0" w:firstRowLastColumn="0" w:lastRowFirstColumn="0" w:lastRowLastColumn="0"/>
            <w:tcW w:w="1843" w:type="dxa"/>
          </w:tcPr>
          <w:p w:rsidR="00212FF5" w:rsidRPr="004F0D02" w:rsidRDefault="00212FF5" w:rsidP="004F0D02">
            <w:pPr>
              <w:spacing w:line="276" w:lineRule="auto"/>
              <w:rPr>
                <w:rFonts w:ascii="HelveticaNeueLT Pro 55 Roman" w:hAnsi="HelveticaNeueLT Pro 55 Roman"/>
              </w:rPr>
            </w:pPr>
            <w:r w:rsidRPr="004F0D02">
              <w:rPr>
                <w:rFonts w:ascii="HelveticaNeueLT Pro 55 Roman" w:hAnsi="HelveticaNeueLT Pro 55 Roman"/>
              </w:rPr>
              <w:t>Sensoren</w:t>
            </w:r>
          </w:p>
        </w:tc>
        <w:tc>
          <w:tcPr>
            <w:tcW w:w="7437" w:type="dxa"/>
          </w:tcPr>
          <w:p w:rsidR="00212FF5" w:rsidRPr="004F0D02" w:rsidRDefault="00B143D3" w:rsidP="00B143D3">
            <w:pPr>
              <w:spacing w:line="276" w:lineRule="auto"/>
              <w:cnfStyle w:val="000000000000" w:firstRow="0" w:lastRow="0" w:firstColumn="0" w:lastColumn="0" w:oddVBand="0" w:evenVBand="0" w:oddHBand="0" w:evenHBand="0" w:firstRowFirstColumn="0" w:firstRowLastColumn="0" w:lastRowFirstColumn="0" w:lastRowLastColumn="0"/>
              <w:rPr>
                <w:rFonts w:ascii="HelveticaNeueLT Pro 55 Roman" w:hAnsi="HelveticaNeueLT Pro 55 Roman"/>
              </w:rPr>
            </w:pPr>
            <w:r w:rsidRPr="00B143D3">
              <w:rPr>
                <w:rFonts w:ascii="HelveticaNeueLT Pro 55 Roman" w:hAnsi="HelveticaNeueLT Pro 55 Roman"/>
              </w:rPr>
              <w:t>Moderne digitale Monitoring-Instrumente (</w:t>
            </w:r>
            <w:r>
              <w:rPr>
                <w:rFonts w:ascii="HelveticaNeueLT Pro 55 Roman" w:hAnsi="HelveticaNeueLT Pro 55 Roman"/>
              </w:rPr>
              <w:t xml:space="preserve">z.B. </w:t>
            </w:r>
            <w:r w:rsidRPr="00B143D3">
              <w:rPr>
                <w:rFonts w:ascii="HelveticaNeueLT Pro 55 Roman" w:hAnsi="HelveticaNeueLT Pro 55 Roman"/>
              </w:rPr>
              <w:t>Fuß-, Ohr- oder Halstransponder</w:t>
            </w:r>
            <w:r>
              <w:rPr>
                <w:rFonts w:ascii="HelveticaNeueLT Pro 55 Roman" w:hAnsi="HelveticaNeueLT Pro 55 Roman"/>
              </w:rPr>
              <w:t xml:space="preserve">) erlauben das Tierverhalten oder bspw. </w:t>
            </w:r>
            <w:r w:rsidR="008C0B0F" w:rsidRPr="004F0D02">
              <w:rPr>
                <w:rFonts w:ascii="HelveticaNeueLT Pro 55 Roman" w:hAnsi="HelveticaNeueLT Pro 55 Roman"/>
              </w:rPr>
              <w:t xml:space="preserve">physiologische </w:t>
            </w:r>
            <w:r>
              <w:rPr>
                <w:rFonts w:ascii="HelveticaNeueLT Pro 55 Roman" w:hAnsi="HelveticaNeueLT Pro 55 Roman"/>
              </w:rPr>
              <w:t>Parameter zu</w:t>
            </w:r>
            <w:r w:rsidR="008C0B0F" w:rsidRPr="004F0D02">
              <w:rPr>
                <w:rFonts w:ascii="HelveticaNeueLT Pro 55 Roman" w:hAnsi="HelveticaNeueLT Pro 55 Roman"/>
              </w:rPr>
              <w:t xml:space="preserve"> überwachen, etwa die Aktivität</w:t>
            </w:r>
            <w:r>
              <w:rPr>
                <w:rFonts w:ascii="HelveticaNeueLT Pro 55 Roman" w:hAnsi="HelveticaNeueLT Pro 55 Roman"/>
              </w:rPr>
              <w:t xml:space="preserve"> des Einzeltiers</w:t>
            </w:r>
            <w:r w:rsidR="008C0B0F" w:rsidRPr="004F0D02">
              <w:rPr>
                <w:rFonts w:ascii="HelveticaNeueLT Pro 55 Roman" w:hAnsi="HelveticaNeueLT Pro 55 Roman"/>
              </w:rPr>
              <w:t xml:space="preserve">, </w:t>
            </w:r>
            <w:r>
              <w:rPr>
                <w:rFonts w:ascii="HelveticaNeueLT Pro 55 Roman" w:hAnsi="HelveticaNeueLT Pro 55 Roman"/>
              </w:rPr>
              <w:t xml:space="preserve">Bewegungsmuster, </w:t>
            </w:r>
            <w:r w:rsidR="008C0B0F" w:rsidRPr="004F0D02">
              <w:rPr>
                <w:rFonts w:ascii="HelveticaNeueLT Pro 55 Roman" w:hAnsi="HelveticaNeueLT Pro 55 Roman"/>
              </w:rPr>
              <w:t xml:space="preserve">den Standort oder </w:t>
            </w:r>
            <w:r>
              <w:rPr>
                <w:rFonts w:ascii="HelveticaNeueLT Pro 55 Roman" w:hAnsi="HelveticaNeueLT Pro 55 Roman"/>
              </w:rPr>
              <w:t xml:space="preserve">bspw. das </w:t>
            </w:r>
            <w:r w:rsidR="008C0B0F" w:rsidRPr="004F0D02">
              <w:rPr>
                <w:rFonts w:ascii="HelveticaNeueLT Pro 55 Roman" w:hAnsi="HelveticaNeueLT Pro 55 Roman"/>
              </w:rPr>
              <w:t xml:space="preserve">Wiederkäuen. Zu den Vorteilen </w:t>
            </w:r>
            <w:r>
              <w:rPr>
                <w:rFonts w:ascii="HelveticaNeueLT Pro 55 Roman" w:hAnsi="HelveticaNeueLT Pro 55 Roman"/>
              </w:rPr>
              <w:t xml:space="preserve">diese Monitorings </w:t>
            </w:r>
            <w:r w:rsidR="000E04E6">
              <w:rPr>
                <w:rFonts w:ascii="HelveticaNeueLT Pro 55 Roman" w:hAnsi="HelveticaNeueLT Pro 55 Roman"/>
              </w:rPr>
              <w:t>kann</w:t>
            </w:r>
            <w:r w:rsidR="008C0B0F" w:rsidRPr="004F0D02">
              <w:rPr>
                <w:rFonts w:ascii="HelveticaNeueLT Pro 55 Roman" w:hAnsi="HelveticaNeueLT Pro 55 Roman"/>
              </w:rPr>
              <w:t xml:space="preserve"> unter anderem </w:t>
            </w:r>
            <w:r w:rsidR="000E04E6">
              <w:rPr>
                <w:rFonts w:ascii="HelveticaNeueLT Pro 55 Roman" w:hAnsi="HelveticaNeueLT Pro 55 Roman"/>
              </w:rPr>
              <w:t xml:space="preserve">eine effektivere Therapie </w:t>
            </w:r>
            <w:r w:rsidR="008C0B0F" w:rsidRPr="004F0D02">
              <w:rPr>
                <w:rFonts w:ascii="HelveticaNeueLT Pro 55 Roman" w:hAnsi="HelveticaNeueLT Pro 55 Roman"/>
              </w:rPr>
              <w:t>aufgrund früherer Krankheitserkennung gehören</w:t>
            </w:r>
            <w:r w:rsidR="000E04E6">
              <w:rPr>
                <w:rFonts w:ascii="HelveticaNeueLT Pro 55 Roman" w:hAnsi="HelveticaNeueLT Pro 55 Roman"/>
              </w:rPr>
              <w:t xml:space="preserve">. Hieraus </w:t>
            </w:r>
            <w:proofErr w:type="gramStart"/>
            <w:r w:rsidR="000E04E6">
              <w:rPr>
                <w:rFonts w:ascii="HelveticaNeueLT Pro 55 Roman" w:hAnsi="HelveticaNeueLT Pro 55 Roman"/>
              </w:rPr>
              <w:t>kann</w:t>
            </w:r>
            <w:proofErr w:type="gramEnd"/>
            <w:r w:rsidR="000E04E6">
              <w:rPr>
                <w:rFonts w:ascii="HelveticaNeueLT Pro 55 Roman" w:hAnsi="HelveticaNeueLT Pro 55 Roman"/>
              </w:rPr>
              <w:t xml:space="preserve"> ein </w:t>
            </w:r>
            <w:r w:rsidR="008C0B0F" w:rsidRPr="004F0D02">
              <w:rPr>
                <w:rFonts w:ascii="HelveticaNeueLT Pro 55 Roman" w:hAnsi="HelveticaNeueLT Pro 55 Roman"/>
              </w:rPr>
              <w:t>geringere</w:t>
            </w:r>
            <w:r w:rsidR="000E04E6">
              <w:rPr>
                <w:rFonts w:ascii="HelveticaNeueLT Pro 55 Roman" w:hAnsi="HelveticaNeueLT Pro 55 Roman"/>
              </w:rPr>
              <w:t>r</w:t>
            </w:r>
            <w:r w:rsidR="008C0B0F" w:rsidRPr="004F0D02">
              <w:rPr>
                <w:rFonts w:ascii="HelveticaNeueLT Pro 55 Roman" w:hAnsi="HelveticaNeueLT Pro 55 Roman"/>
              </w:rPr>
              <w:t xml:space="preserve"> Bedarf der Verwendung antimikrobieller Mittel </w:t>
            </w:r>
            <w:r w:rsidR="000E04E6">
              <w:rPr>
                <w:rFonts w:ascii="HelveticaNeueLT Pro 55 Roman" w:hAnsi="HelveticaNeueLT Pro 55 Roman"/>
              </w:rPr>
              <w:t xml:space="preserve">sowie </w:t>
            </w:r>
            <w:r w:rsidR="008C0B0F" w:rsidRPr="004F0D02">
              <w:rPr>
                <w:rFonts w:ascii="HelveticaNeueLT Pro 55 Roman" w:hAnsi="HelveticaNeueLT Pro 55 Roman"/>
              </w:rPr>
              <w:t xml:space="preserve">bessere Ergebnisse beim </w:t>
            </w:r>
            <w:proofErr w:type="spellStart"/>
            <w:r w:rsidR="008C0B0F" w:rsidRPr="004F0D02">
              <w:rPr>
                <w:rFonts w:ascii="HelveticaNeueLT Pro 55 Roman" w:hAnsi="HelveticaNeueLT Pro 55 Roman"/>
              </w:rPr>
              <w:t>Tierwohl</w:t>
            </w:r>
            <w:proofErr w:type="spellEnd"/>
            <w:r w:rsidR="008C0B0F" w:rsidRPr="004F0D02">
              <w:rPr>
                <w:rFonts w:ascii="HelveticaNeueLT Pro 55 Roman" w:hAnsi="HelveticaNeueLT Pro 55 Roman"/>
              </w:rPr>
              <w:t xml:space="preserve"> </w:t>
            </w:r>
            <w:r w:rsidR="000E04E6">
              <w:rPr>
                <w:rFonts w:ascii="HelveticaNeueLT Pro 55 Roman" w:hAnsi="HelveticaNeueLT Pro 55 Roman"/>
              </w:rPr>
              <w:t>resultieren</w:t>
            </w:r>
            <w:r w:rsidR="008C0B0F" w:rsidRPr="004F0D02">
              <w:rPr>
                <w:rFonts w:ascii="HelveticaNeueLT Pro 55 Roman" w:hAnsi="HelveticaNeueLT Pro 55 Roman"/>
              </w:rPr>
              <w:t>.</w:t>
            </w:r>
          </w:p>
        </w:tc>
      </w:tr>
      <w:tr w:rsidR="00212FF5" w:rsidRPr="004F0D02" w:rsidTr="001C1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212FF5" w:rsidRPr="004F0D02" w:rsidRDefault="00C41103" w:rsidP="004F0D02">
            <w:pPr>
              <w:spacing w:line="276" w:lineRule="auto"/>
              <w:rPr>
                <w:rFonts w:ascii="HelveticaNeueLT Pro 55 Roman" w:hAnsi="HelveticaNeueLT Pro 55 Roman"/>
              </w:rPr>
            </w:pPr>
            <w:proofErr w:type="spellStart"/>
            <w:r w:rsidRPr="004F0D02">
              <w:rPr>
                <w:rFonts w:ascii="HelveticaNeueLT Pro 55 Roman" w:hAnsi="HelveticaNeueLT Pro 55 Roman"/>
              </w:rPr>
              <w:t>Genomische</w:t>
            </w:r>
            <w:proofErr w:type="spellEnd"/>
            <w:r w:rsidRPr="004F0D02">
              <w:rPr>
                <w:rFonts w:ascii="HelveticaNeueLT Pro 55 Roman" w:hAnsi="HelveticaNeueLT Pro 55 Roman"/>
              </w:rPr>
              <w:t xml:space="preserve"> Prognosen</w:t>
            </w:r>
          </w:p>
        </w:tc>
        <w:tc>
          <w:tcPr>
            <w:tcW w:w="7437" w:type="dxa"/>
          </w:tcPr>
          <w:p w:rsidR="00212FF5" w:rsidRPr="004F0D02" w:rsidRDefault="000E04E6" w:rsidP="000E04E6">
            <w:pPr>
              <w:spacing w:line="276" w:lineRule="auto"/>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rPr>
            </w:pPr>
            <w:r>
              <w:rPr>
                <w:rFonts w:ascii="HelveticaNeueLT Pro 55 Roman" w:hAnsi="HelveticaNeueLT Pro 55 Roman"/>
              </w:rPr>
              <w:t xml:space="preserve">In der Tierzucht erlauben </w:t>
            </w:r>
            <w:proofErr w:type="spellStart"/>
            <w:r>
              <w:rPr>
                <w:rFonts w:ascii="HelveticaNeueLT Pro 55 Roman" w:hAnsi="HelveticaNeueLT Pro 55 Roman"/>
              </w:rPr>
              <w:t>g</w:t>
            </w:r>
            <w:r w:rsidR="00C41103" w:rsidRPr="004F0D02">
              <w:rPr>
                <w:rFonts w:ascii="HelveticaNeueLT Pro 55 Roman" w:hAnsi="HelveticaNeueLT Pro 55 Roman"/>
              </w:rPr>
              <w:t>enomische</w:t>
            </w:r>
            <w:proofErr w:type="spellEnd"/>
            <w:r w:rsidR="00C41103" w:rsidRPr="004F0D02">
              <w:rPr>
                <w:rFonts w:ascii="HelveticaNeueLT Pro 55 Roman" w:hAnsi="HelveticaNeueLT Pro 55 Roman"/>
              </w:rPr>
              <w:t xml:space="preserve"> Vorhersagen</w:t>
            </w:r>
            <w:r>
              <w:rPr>
                <w:rFonts w:ascii="HelveticaNeueLT Pro 55 Roman" w:hAnsi="HelveticaNeueLT Pro 55 Roman"/>
              </w:rPr>
              <w:t xml:space="preserve"> </w:t>
            </w:r>
            <w:r w:rsidRPr="000E04E6">
              <w:rPr>
                <w:rFonts w:ascii="HelveticaNeueLT Pro 55 Roman" w:hAnsi="HelveticaNeueLT Pro 55 Roman"/>
              </w:rPr>
              <w:t>zukünftiger Phänotypen von Tieren</w:t>
            </w:r>
            <w:r>
              <w:rPr>
                <w:rFonts w:ascii="HelveticaNeueLT Pro 55 Roman" w:hAnsi="HelveticaNeueLT Pro 55 Roman"/>
              </w:rPr>
              <w:t xml:space="preserve"> </w:t>
            </w:r>
            <w:r w:rsidR="00C41103" w:rsidRPr="004F0D02">
              <w:rPr>
                <w:rFonts w:ascii="HelveticaNeueLT Pro 55 Roman" w:hAnsi="HelveticaNeueLT Pro 55 Roman"/>
              </w:rPr>
              <w:t xml:space="preserve">den Landwirten, Selektionsentscheidungen schon zu einem früheren Zeitpunkt im Leben eines Tieres zu treffen. </w:t>
            </w:r>
            <w:r>
              <w:rPr>
                <w:rFonts w:ascii="HelveticaNeueLT Pro 55 Roman" w:hAnsi="HelveticaNeueLT Pro 55 Roman"/>
              </w:rPr>
              <w:t xml:space="preserve">Fortschritte in der Tierzucht </w:t>
            </w:r>
            <w:proofErr w:type="gramStart"/>
            <w:r>
              <w:rPr>
                <w:rFonts w:ascii="HelveticaNeueLT Pro 55 Roman" w:hAnsi="HelveticaNeueLT Pro 55 Roman"/>
              </w:rPr>
              <w:t>könne</w:t>
            </w:r>
            <w:proofErr w:type="gramEnd"/>
            <w:r>
              <w:rPr>
                <w:rFonts w:ascii="HelveticaNeueLT Pro 55 Roman" w:hAnsi="HelveticaNeueLT Pro 55 Roman"/>
              </w:rPr>
              <w:t xml:space="preserve"> so </w:t>
            </w:r>
            <w:r w:rsidR="00C41103" w:rsidRPr="004F0D02">
              <w:rPr>
                <w:rFonts w:ascii="HelveticaNeueLT Pro 55 Roman" w:hAnsi="HelveticaNeueLT Pro 55 Roman"/>
              </w:rPr>
              <w:t xml:space="preserve">u.a. zu gesünderen Tieren, </w:t>
            </w:r>
            <w:r>
              <w:rPr>
                <w:rFonts w:ascii="HelveticaNeueLT Pro 55 Roman" w:hAnsi="HelveticaNeueLT Pro 55 Roman"/>
              </w:rPr>
              <w:t>mehr</w:t>
            </w:r>
            <w:r w:rsidR="00C41103" w:rsidRPr="004F0D02">
              <w:rPr>
                <w:rFonts w:ascii="HelveticaNeueLT Pro 55 Roman" w:hAnsi="HelveticaNeueLT Pro 55 Roman"/>
              </w:rPr>
              <w:t xml:space="preserve"> </w:t>
            </w:r>
            <w:proofErr w:type="spellStart"/>
            <w:r w:rsidR="00C41103" w:rsidRPr="004F0D02">
              <w:rPr>
                <w:rFonts w:ascii="HelveticaNeueLT Pro 55 Roman" w:hAnsi="HelveticaNeueLT Pro 55 Roman"/>
              </w:rPr>
              <w:t>Tierwohl</w:t>
            </w:r>
            <w:proofErr w:type="spellEnd"/>
            <w:r w:rsidR="00C41103" w:rsidRPr="004F0D02">
              <w:rPr>
                <w:rFonts w:ascii="HelveticaNeueLT Pro 55 Roman" w:hAnsi="HelveticaNeueLT Pro 55 Roman"/>
              </w:rPr>
              <w:t xml:space="preserve">, </w:t>
            </w:r>
            <w:r>
              <w:rPr>
                <w:rFonts w:ascii="HelveticaNeueLT Pro 55 Roman" w:hAnsi="HelveticaNeueLT Pro 55 Roman"/>
              </w:rPr>
              <w:t>weniger Behandlungen</w:t>
            </w:r>
            <w:r w:rsidR="00C41103" w:rsidRPr="004F0D02">
              <w:rPr>
                <w:rFonts w:ascii="HelveticaNeueLT Pro 55 Roman" w:hAnsi="HelveticaNeueLT Pro 55 Roman"/>
              </w:rPr>
              <w:t xml:space="preserve"> und </w:t>
            </w:r>
            <w:r>
              <w:rPr>
                <w:rFonts w:ascii="HelveticaNeueLT Pro 55 Roman" w:hAnsi="HelveticaNeueLT Pro 55 Roman"/>
              </w:rPr>
              <w:t xml:space="preserve">einer </w:t>
            </w:r>
            <w:r>
              <w:rPr>
                <w:rFonts w:ascii="HelveticaNeueLT Pro 55 Roman" w:hAnsi="HelveticaNeueLT Pro 55 Roman"/>
              </w:rPr>
              <w:lastRenderedPageBreak/>
              <w:t xml:space="preserve">verbesserten </w:t>
            </w:r>
            <w:r w:rsidR="00C41103" w:rsidRPr="004F0D02">
              <w:rPr>
                <w:rFonts w:ascii="HelveticaNeueLT Pro 55 Roman" w:hAnsi="HelveticaNeueLT Pro 55 Roman"/>
              </w:rPr>
              <w:t>Arbeitseffizienz führen.</w:t>
            </w:r>
          </w:p>
        </w:tc>
      </w:tr>
      <w:tr w:rsidR="00212FF5" w:rsidRPr="004F0D02" w:rsidTr="001C12C7">
        <w:tc>
          <w:tcPr>
            <w:cnfStyle w:val="001000000000" w:firstRow="0" w:lastRow="0" w:firstColumn="1" w:lastColumn="0" w:oddVBand="0" w:evenVBand="0" w:oddHBand="0" w:evenHBand="0" w:firstRowFirstColumn="0" w:firstRowLastColumn="0" w:lastRowFirstColumn="0" w:lastRowLastColumn="0"/>
            <w:tcW w:w="1843" w:type="dxa"/>
          </w:tcPr>
          <w:p w:rsidR="00212FF5" w:rsidRPr="004F0D02" w:rsidRDefault="00AB2FB5" w:rsidP="004F0D02">
            <w:pPr>
              <w:spacing w:line="276" w:lineRule="auto"/>
              <w:rPr>
                <w:rFonts w:ascii="HelveticaNeueLT Pro 55 Roman" w:hAnsi="HelveticaNeueLT Pro 55 Roman"/>
              </w:rPr>
            </w:pPr>
            <w:r w:rsidRPr="004F0D02">
              <w:rPr>
                <w:rFonts w:ascii="HelveticaNeueLT Pro 55 Roman" w:hAnsi="HelveticaNeueLT Pro 55 Roman"/>
              </w:rPr>
              <w:lastRenderedPageBreak/>
              <w:t>Diagnostik</w:t>
            </w:r>
          </w:p>
        </w:tc>
        <w:tc>
          <w:tcPr>
            <w:tcW w:w="7437" w:type="dxa"/>
          </w:tcPr>
          <w:p w:rsidR="00212FF5" w:rsidRPr="004F0D02" w:rsidRDefault="00B143D3" w:rsidP="00B143D3">
            <w:pPr>
              <w:spacing w:line="276" w:lineRule="auto"/>
              <w:cnfStyle w:val="000000000000" w:firstRow="0" w:lastRow="0" w:firstColumn="0" w:lastColumn="0" w:oddVBand="0" w:evenVBand="0" w:oddHBand="0" w:evenHBand="0" w:firstRowFirstColumn="0" w:firstRowLastColumn="0" w:lastRowFirstColumn="0" w:lastRowLastColumn="0"/>
              <w:rPr>
                <w:rFonts w:ascii="HelveticaNeueLT Pro 55 Roman" w:hAnsi="HelveticaNeueLT Pro 55 Roman"/>
              </w:rPr>
            </w:pPr>
            <w:r>
              <w:rPr>
                <w:rFonts w:ascii="HelveticaNeueLT Pro 55 Roman" w:hAnsi="HelveticaNeueLT Pro 55 Roman"/>
              </w:rPr>
              <w:t xml:space="preserve">Neue Technologien werden genutzt, um die diagnostischen Möglichkeiten kontinuierlich weiter zu </w:t>
            </w:r>
            <w:r w:rsidR="00C41103" w:rsidRPr="004F0D02">
              <w:rPr>
                <w:rFonts w:ascii="HelveticaNeueLT Pro 55 Roman" w:hAnsi="HelveticaNeueLT Pro 55 Roman"/>
              </w:rPr>
              <w:t>entwickel</w:t>
            </w:r>
            <w:r>
              <w:rPr>
                <w:rFonts w:ascii="HelveticaNeueLT Pro 55 Roman" w:hAnsi="HelveticaNeueLT Pro 55 Roman"/>
              </w:rPr>
              <w:t xml:space="preserve">n. Dies kann in einer schnelleren, einfacheren </w:t>
            </w:r>
            <w:r w:rsidR="00C41103" w:rsidRPr="004F0D02">
              <w:rPr>
                <w:rFonts w:ascii="HelveticaNeueLT Pro 55 Roman" w:hAnsi="HelveticaNeueLT Pro 55 Roman"/>
              </w:rPr>
              <w:t xml:space="preserve">Diagnose wichtiger Krankheiten wie </w:t>
            </w:r>
            <w:r>
              <w:rPr>
                <w:rFonts w:ascii="HelveticaNeueLT Pro 55 Roman" w:hAnsi="HelveticaNeueLT Pro 55 Roman"/>
              </w:rPr>
              <w:t>z.B. der Euterentzündung</w:t>
            </w:r>
            <w:r w:rsidR="00C41103" w:rsidRPr="004F0D02">
              <w:rPr>
                <w:rFonts w:ascii="HelveticaNeueLT Pro 55 Roman" w:hAnsi="HelveticaNeueLT Pro 55 Roman"/>
              </w:rPr>
              <w:t xml:space="preserve">, der wirtschaftlich bedeutendsten </w:t>
            </w:r>
            <w:r>
              <w:rPr>
                <w:rFonts w:ascii="HelveticaNeueLT Pro 55 Roman" w:hAnsi="HelveticaNeueLT Pro 55 Roman"/>
              </w:rPr>
              <w:t>Erkrankung des Milchviehs</w:t>
            </w:r>
            <w:r w:rsidR="00C41103" w:rsidRPr="004F0D02">
              <w:rPr>
                <w:rFonts w:ascii="HelveticaNeueLT Pro 55 Roman" w:hAnsi="HelveticaNeueLT Pro 55 Roman"/>
              </w:rPr>
              <w:t xml:space="preserve">, im landwirtschaftlichen Betrieb </w:t>
            </w:r>
            <w:r>
              <w:rPr>
                <w:rFonts w:ascii="HelveticaNeueLT Pro 55 Roman" w:hAnsi="HelveticaNeueLT Pro 55 Roman"/>
              </w:rPr>
              <w:t xml:space="preserve">führen. </w:t>
            </w:r>
            <w:r w:rsidR="00C41103" w:rsidRPr="004F0D02">
              <w:rPr>
                <w:rFonts w:ascii="HelveticaNeueLT Pro 55 Roman" w:hAnsi="HelveticaNeueLT Pro 55 Roman"/>
              </w:rPr>
              <w:t>Laborexpertise und die Fähigkeit, komplexere klinische Fälle zu untersuchen, werden weiterhin unerlässlich sein.</w:t>
            </w:r>
          </w:p>
        </w:tc>
      </w:tr>
    </w:tbl>
    <w:p w:rsidR="002C7E7B" w:rsidRDefault="002C7E7B" w:rsidP="004F0D02">
      <w:pPr>
        <w:spacing w:line="276" w:lineRule="auto"/>
        <w:rPr>
          <w:rFonts w:ascii="HelveticaNeueLT Pro 55 Roman" w:hAnsi="HelveticaNeueLT Pro 55 Roman"/>
        </w:rPr>
      </w:pPr>
    </w:p>
    <w:p w:rsidR="00B143D3" w:rsidRPr="004F0D02" w:rsidRDefault="00B143D3" w:rsidP="004F0D02">
      <w:pPr>
        <w:spacing w:line="276" w:lineRule="auto"/>
        <w:rPr>
          <w:rFonts w:ascii="HelveticaNeueLT Pro 55 Roman" w:hAnsi="HelveticaNeueLT Pro 55 Roman"/>
        </w:rPr>
      </w:pPr>
    </w:p>
    <w:p w:rsidR="002C7E7B" w:rsidRPr="004F0D02" w:rsidRDefault="004F0D02" w:rsidP="004F0D02">
      <w:pPr>
        <w:pStyle w:val="Default"/>
        <w:spacing w:line="276" w:lineRule="auto"/>
        <w:ind w:left="708"/>
        <w:rPr>
          <w:rFonts w:ascii="HelveticaNeueLT Pro 55 Roman" w:hAnsi="HelveticaNeueLT Pro 55 Roman"/>
          <w:b/>
        </w:rPr>
      </w:pPr>
      <w:r w:rsidRPr="004F0D02">
        <w:rPr>
          <w:rFonts w:ascii="HelveticaNeueLT Pro 55 Roman" w:hAnsi="HelveticaNeueLT Pro 55 Roman"/>
          <w:b/>
        </w:rPr>
        <w:t xml:space="preserve">4. </w:t>
      </w:r>
      <w:r w:rsidR="002C7E7B" w:rsidRPr="004F0D02">
        <w:rPr>
          <w:rFonts w:ascii="HelveticaNeueLT Pro 55 Roman" w:hAnsi="HelveticaNeueLT Pro 55 Roman"/>
          <w:b/>
        </w:rPr>
        <w:t xml:space="preserve">Verantwortungsvoller </w:t>
      </w:r>
      <w:r w:rsidR="0060584B" w:rsidRPr="004F0D02">
        <w:rPr>
          <w:rFonts w:ascii="HelveticaNeueLT Pro 55 Roman" w:hAnsi="HelveticaNeueLT Pro 55 Roman"/>
          <w:b/>
        </w:rPr>
        <w:t xml:space="preserve">Einsatz von </w:t>
      </w:r>
      <w:r w:rsidR="002C7E7B" w:rsidRPr="004F0D02">
        <w:rPr>
          <w:rFonts w:ascii="HelveticaNeueLT Pro 55 Roman" w:hAnsi="HelveticaNeueLT Pro 55 Roman"/>
          <w:b/>
        </w:rPr>
        <w:t>Antibiotika</w:t>
      </w:r>
    </w:p>
    <w:p w:rsidR="002C7E7B" w:rsidRPr="004F0D02" w:rsidRDefault="002C7E7B" w:rsidP="004F0D02">
      <w:pPr>
        <w:pStyle w:val="Default"/>
        <w:spacing w:line="276" w:lineRule="auto"/>
        <w:rPr>
          <w:rFonts w:ascii="HelveticaNeueLT Pro 55 Roman" w:hAnsi="HelveticaNeueLT Pro 55 Roman"/>
        </w:rPr>
      </w:pPr>
    </w:p>
    <w:p w:rsidR="002C7E7B" w:rsidRPr="004F0D02" w:rsidRDefault="004F0D02" w:rsidP="004F0D02">
      <w:pPr>
        <w:spacing w:line="276" w:lineRule="auto"/>
        <w:rPr>
          <w:rFonts w:ascii="HelveticaNeueLT Pro 55 Roman" w:hAnsi="HelveticaNeueLT Pro 55 Roman"/>
        </w:rPr>
      </w:pPr>
      <w:r w:rsidRPr="004F0D02">
        <w:rPr>
          <w:rFonts w:ascii="HelveticaNeueLT Pro 55 Roman" w:hAnsi="HelveticaNeueLT Pro 55 Roman"/>
        </w:rPr>
        <w:t xml:space="preserve">In den vergangenen zwei Jahrzehnten hat die EU-Landwirtschaft kontinuierlich und erfolgreich </w:t>
      </w:r>
      <w:r w:rsidR="00201149">
        <w:rPr>
          <w:rFonts w:ascii="HelveticaNeueLT Pro 55 Roman" w:hAnsi="HelveticaNeueLT Pro 55 Roman"/>
        </w:rPr>
        <w:t xml:space="preserve">einen </w:t>
      </w:r>
      <w:r w:rsidRPr="004F0D02">
        <w:rPr>
          <w:rFonts w:ascii="HelveticaNeueLT Pro 55 Roman" w:hAnsi="HelveticaNeueLT Pro 55 Roman"/>
        </w:rPr>
        <w:t>Ansatz für den verantwortungsvollen Einsa</w:t>
      </w:r>
      <w:r w:rsidR="00201149">
        <w:rPr>
          <w:rFonts w:ascii="HelveticaNeueLT Pro 55 Roman" w:hAnsi="HelveticaNeueLT Pro 55 Roman"/>
        </w:rPr>
        <w:t xml:space="preserve">tz von Antibiotika verfolgt ohne das </w:t>
      </w:r>
      <w:r w:rsidRPr="004F0D02">
        <w:rPr>
          <w:rFonts w:ascii="HelveticaNeueLT Pro 55 Roman" w:hAnsi="HelveticaNeueLT Pro 55 Roman"/>
        </w:rPr>
        <w:t xml:space="preserve">vorrangige Ziel des Schutzes der Tiergesundheit und des Wohlergehens der Tiere </w:t>
      </w:r>
      <w:r w:rsidR="00201149">
        <w:rPr>
          <w:rFonts w:ascii="HelveticaNeueLT Pro 55 Roman" w:hAnsi="HelveticaNeueLT Pro 55 Roman"/>
        </w:rPr>
        <w:t>außer Acht zu lassen</w:t>
      </w:r>
      <w:r w:rsidRPr="004F0D02">
        <w:rPr>
          <w:rFonts w:ascii="HelveticaNeueLT Pro 55 Roman" w:hAnsi="HelveticaNeueLT Pro 55 Roman"/>
        </w:rPr>
        <w:t xml:space="preserve">. Vom Verbot des Einsatzes antibiotischer Wachstumsförderer im Jahr 2006 bis hin zu weiteren Beschränkungen des Einsatzes von Antibiotika, die in der Verordnung </w:t>
      </w:r>
      <w:r w:rsidR="00201149">
        <w:rPr>
          <w:rFonts w:ascii="HelveticaNeueLT Pro 55 Roman" w:hAnsi="HelveticaNeueLT Pro 55 Roman"/>
        </w:rPr>
        <w:t xml:space="preserve">(EU) </w:t>
      </w:r>
      <w:r w:rsidRPr="004F0D02">
        <w:rPr>
          <w:rFonts w:ascii="HelveticaNeueLT Pro 55 Roman" w:hAnsi="HelveticaNeueLT Pro 55 Roman"/>
        </w:rPr>
        <w:t xml:space="preserve">2019/6 aufgenommen wurden, ist der Einsatz von Antibiotika auf Fälle beschränkt, in denen eine nachweisliche veterinärmedizinische Notwendigkeit besteht, </w:t>
      </w:r>
      <w:r w:rsidR="00201149">
        <w:rPr>
          <w:rFonts w:ascii="HelveticaNeueLT Pro 55 Roman" w:hAnsi="HelveticaNeueLT Pro 55 Roman"/>
        </w:rPr>
        <w:t xml:space="preserve">um </w:t>
      </w:r>
      <w:r w:rsidRPr="004F0D02">
        <w:rPr>
          <w:rFonts w:ascii="HelveticaNeueLT Pro 55 Roman" w:hAnsi="HelveticaNeueLT Pro 55 Roman"/>
        </w:rPr>
        <w:t>die Gesundheit und das Wohlergehen eines Tieres zu schützen.</w:t>
      </w:r>
    </w:p>
    <w:p w:rsidR="002C7E7B" w:rsidRPr="004F0D02" w:rsidRDefault="002C7E7B" w:rsidP="004F0D02">
      <w:pPr>
        <w:spacing w:line="276" w:lineRule="auto"/>
        <w:rPr>
          <w:rFonts w:ascii="HelveticaNeueLT Pro 55 Roman" w:hAnsi="HelveticaNeueLT Pro 55 Roman"/>
        </w:rPr>
      </w:pPr>
    </w:p>
    <w:p w:rsidR="00B45D38" w:rsidRPr="004F0D02" w:rsidRDefault="004F0D02" w:rsidP="004F0D02">
      <w:pPr>
        <w:spacing w:line="276" w:lineRule="auto"/>
        <w:rPr>
          <w:rFonts w:ascii="HelveticaNeueLT Pro 55 Roman" w:hAnsi="HelveticaNeueLT Pro 55 Roman"/>
        </w:rPr>
      </w:pPr>
      <w:r w:rsidRPr="004F0D02">
        <w:rPr>
          <w:rFonts w:ascii="HelveticaNeueLT Pro 55 Roman" w:hAnsi="HelveticaNeueLT Pro 55 Roman"/>
          <w:b/>
        </w:rPr>
        <w:t>Wie wir dazu beitragen können:</w:t>
      </w:r>
      <w:r w:rsidRPr="004F0D02">
        <w:rPr>
          <w:rFonts w:ascii="HelveticaNeueLT Pro 55 Roman" w:hAnsi="HelveticaNeueLT Pro 55 Roman"/>
        </w:rPr>
        <w:t xml:space="preserve"> In den letzten zwei Jahrzehnten haben sich AnimalhealthEurope und seine Mitglieder auf verschiedenen Ebenen proaktiv gegen die Bedrohung durch die Entwicklung von Antibiotikaresistenzen eingesetzt, angefangen bei der Bereitstellung von Informationen </w:t>
      </w:r>
      <w:r w:rsidR="00755DAA">
        <w:rPr>
          <w:rFonts w:ascii="HelveticaNeueLT Pro 55 Roman" w:hAnsi="HelveticaNeueLT Pro 55 Roman"/>
        </w:rPr>
        <w:t>zur Entwicklung</w:t>
      </w:r>
      <w:r w:rsidRPr="004F0D02">
        <w:rPr>
          <w:rFonts w:ascii="HelveticaNeueLT Pro 55 Roman" w:hAnsi="HelveticaNeueLT Pro 55 Roman"/>
        </w:rPr>
        <w:t xml:space="preserve"> politische</w:t>
      </w:r>
      <w:r w:rsidR="00755DAA">
        <w:rPr>
          <w:rFonts w:ascii="HelveticaNeueLT Pro 55 Roman" w:hAnsi="HelveticaNeueLT Pro 55 Roman"/>
        </w:rPr>
        <w:t>r</w:t>
      </w:r>
      <w:r w:rsidRPr="004F0D02">
        <w:rPr>
          <w:rFonts w:ascii="HelveticaNeueLT Pro 55 Roman" w:hAnsi="HelveticaNeueLT Pro 55 Roman"/>
        </w:rPr>
        <w:t xml:space="preserve"> </w:t>
      </w:r>
      <w:r w:rsidR="00755DAA">
        <w:rPr>
          <w:rFonts w:ascii="HelveticaNeueLT Pro 55 Roman" w:hAnsi="HelveticaNeueLT Pro 55 Roman"/>
        </w:rPr>
        <w:t>Handlungsrahme</w:t>
      </w:r>
      <w:r w:rsidRPr="004F0D02">
        <w:rPr>
          <w:rFonts w:ascii="HelveticaNeueLT Pro 55 Roman" w:hAnsi="HelveticaNeueLT Pro 55 Roman"/>
        </w:rPr>
        <w:t xml:space="preserve">n, über die Förderung </w:t>
      </w:r>
      <w:r w:rsidR="00755DAA">
        <w:rPr>
          <w:rFonts w:ascii="HelveticaNeueLT Pro 55 Roman" w:hAnsi="HelveticaNeueLT Pro 55 Roman"/>
        </w:rPr>
        <w:t xml:space="preserve">eines </w:t>
      </w:r>
      <w:r w:rsidRPr="004F0D02">
        <w:rPr>
          <w:rFonts w:ascii="HelveticaNeueLT Pro 55 Roman" w:hAnsi="HelveticaNeueLT Pro 55 Roman"/>
        </w:rPr>
        <w:t>verantwortungsbewusste</w:t>
      </w:r>
      <w:r w:rsidR="00755DAA">
        <w:rPr>
          <w:rFonts w:ascii="HelveticaNeueLT Pro 55 Roman" w:hAnsi="HelveticaNeueLT Pro 55 Roman"/>
        </w:rPr>
        <w:t xml:space="preserve">n </w:t>
      </w:r>
      <w:r w:rsidR="00201149">
        <w:rPr>
          <w:rFonts w:ascii="HelveticaNeueLT Pro 55 Roman" w:hAnsi="HelveticaNeueLT Pro 55 Roman"/>
        </w:rPr>
        <w:t>tiermedizinischen Handelns und Tiergesundheitsmanagements</w:t>
      </w:r>
      <w:r w:rsidRPr="004F0D02">
        <w:rPr>
          <w:rFonts w:ascii="HelveticaNeueLT Pro 55 Roman" w:hAnsi="HelveticaNeueLT Pro 55 Roman"/>
        </w:rPr>
        <w:t xml:space="preserve">, die Überwachung der Empfindlichkeit gegenüber antimikrobiellen Mitteln (CEESA-Daten), die Gewährleistung von Transparenz beim Verkauf von Antibiotika (ESVAC) bis hin zu Sensibilisierungsmaßnahmen durch die Einrichtung der Europäischen Plattform für die verantwortungsbewusste Verwendung von Arzneimitteln bei Tieren (EPRUMA). Im Jahr 2019 haben wir uns auch auf globaler Ebene zu messbaren Aktionen verpflichtet, um die drei Bereiche unserer Vision für einen verantwortungsvollen Umgang mit Arzneimitteln zu verbessern: </w:t>
      </w:r>
      <w:r w:rsidR="00201149">
        <w:rPr>
          <w:rFonts w:ascii="HelveticaNeueLT Pro 55 Roman" w:hAnsi="HelveticaNeueLT Pro 55 Roman"/>
        </w:rPr>
        <w:t>Vorbeugung</w:t>
      </w:r>
      <w:r w:rsidRPr="004F0D02">
        <w:rPr>
          <w:rFonts w:ascii="HelveticaNeueLT Pro 55 Roman" w:hAnsi="HelveticaNeueLT Pro 55 Roman"/>
        </w:rPr>
        <w:t>, Erkennung und Behandlung.</w:t>
      </w:r>
    </w:p>
    <w:p w:rsidR="00B45D38" w:rsidRPr="004F0D02" w:rsidRDefault="00B45D38" w:rsidP="004F0D02">
      <w:pPr>
        <w:spacing w:line="276" w:lineRule="auto"/>
        <w:rPr>
          <w:rFonts w:ascii="HelveticaNeueLT Pro 55 Roman" w:hAnsi="HelveticaNeueLT Pro 55 Roman"/>
        </w:rPr>
      </w:pPr>
    </w:p>
    <w:p w:rsidR="00755DAA" w:rsidRDefault="004F0D02" w:rsidP="00755DAA">
      <w:pPr>
        <w:spacing w:line="276" w:lineRule="auto"/>
        <w:rPr>
          <w:rFonts w:ascii="HelveticaNeueLT Pro 55 Roman" w:hAnsi="HelveticaNeueLT Pro 55 Roman"/>
        </w:rPr>
      </w:pPr>
      <w:r w:rsidRPr="004F0D02">
        <w:rPr>
          <w:rFonts w:ascii="HelveticaNeueLT Pro 55 Roman" w:hAnsi="HelveticaNeueLT Pro 55 Roman"/>
          <w:b/>
        </w:rPr>
        <w:t>Unsere Bitte:</w:t>
      </w:r>
      <w:r w:rsidRPr="004F0D02">
        <w:rPr>
          <w:rFonts w:ascii="HelveticaNeueLT Pro 55 Roman" w:hAnsi="HelveticaNeueLT Pro 55 Roman"/>
        </w:rPr>
        <w:t xml:space="preserve"> Die neue Tierarzneimittelverordnung sieht Maßnahmen vor, um den Einsatz von Antibiotika auf ein Minimum zu reduzieren. Es ist wichtig, dass der Erfolg dieser neuen Verordnung evaluiert wird, bevor über die noch ausstehenden Durchführungsmaßnahmen hinaus weitere legislative Maßnahmen hinzugefügt </w:t>
      </w:r>
      <w:r w:rsidRPr="004F0D02">
        <w:rPr>
          <w:rFonts w:ascii="HelveticaNeueLT Pro 55 Roman" w:hAnsi="HelveticaNeueLT Pro 55 Roman"/>
        </w:rPr>
        <w:lastRenderedPageBreak/>
        <w:t>werden. Diese Maßnahmen sollten auch die Auswirkungen auf die Gesundheit und das Wohlergehen der Tiere sowie die Auswirkungen solcher Einschränkungen auf die öffentliche Gesundheit berücksichtigen.</w:t>
      </w:r>
    </w:p>
    <w:p w:rsidR="00755DAA" w:rsidRDefault="00755DAA" w:rsidP="00755DAA">
      <w:pPr>
        <w:spacing w:line="276" w:lineRule="auto"/>
        <w:rPr>
          <w:rFonts w:ascii="HelveticaNeueLT Pro 55 Roman" w:hAnsi="HelveticaNeueLT Pro 55 Roman"/>
        </w:rPr>
      </w:pPr>
    </w:p>
    <w:p w:rsidR="00B45D38" w:rsidRPr="00755DAA" w:rsidRDefault="004F0D02" w:rsidP="00755DAA">
      <w:pPr>
        <w:spacing w:line="276" w:lineRule="auto"/>
        <w:rPr>
          <w:rFonts w:ascii="HelveticaNeueLT Pro 55 Roman" w:hAnsi="HelveticaNeueLT Pro 55 Roman"/>
        </w:rPr>
      </w:pPr>
      <w:r w:rsidRPr="004F0D02">
        <w:t xml:space="preserve">Da nationale </w:t>
      </w:r>
      <w:proofErr w:type="spellStart"/>
      <w:r w:rsidRPr="004F0D02">
        <w:t>One</w:t>
      </w:r>
      <w:proofErr w:type="spellEnd"/>
      <w:r w:rsidRPr="004F0D02">
        <w:t xml:space="preserve"> </w:t>
      </w:r>
      <w:proofErr w:type="spellStart"/>
      <w:r w:rsidRPr="004F0D02">
        <w:t>Health</w:t>
      </w:r>
      <w:proofErr w:type="spellEnd"/>
      <w:r w:rsidRPr="004F0D02">
        <w:t xml:space="preserve">-Aktionspläne in Umsetzung sind, in der gesamten Union ein kontinuierlicher und stetiger Rückgang des Antibiotika-Einsatzes in der </w:t>
      </w:r>
      <w:r w:rsidR="00755DAA">
        <w:t xml:space="preserve">Nutztierhaltung </w:t>
      </w:r>
      <w:r w:rsidRPr="004F0D02">
        <w:t xml:space="preserve">zu verzeichnen ist und die neue </w:t>
      </w:r>
      <w:r w:rsidR="00755DAA">
        <w:t>Tierarzneimittelv</w:t>
      </w:r>
      <w:r w:rsidRPr="004F0D02">
        <w:t xml:space="preserve">erordnung </w:t>
      </w:r>
      <w:r w:rsidR="00755DAA">
        <w:t>bald Anwendung findet</w:t>
      </w:r>
      <w:r w:rsidRPr="004F0D02">
        <w:t>, lehnen wir absolute Reduktionsziele entschieden ab, da diese die Tiere, die einer Antibiotika-Behandlung bedürfen, gefährden würden. Besondere Vorsicht</w:t>
      </w:r>
      <w:r w:rsidR="00755DAA">
        <w:t xml:space="preserve"> ist auch bei der Festlegung zu</w:t>
      </w:r>
      <w:r w:rsidRPr="004F0D02">
        <w:t xml:space="preserve"> ehrgeizige</w:t>
      </w:r>
      <w:r w:rsidR="00755DAA">
        <w:t>r</w:t>
      </w:r>
      <w:r w:rsidRPr="004F0D02">
        <w:t xml:space="preserve"> Ziele zur Verringerung des Antibiotika-Einsatzes geboten</w:t>
      </w:r>
      <w:r w:rsidR="00755DAA">
        <w:t>. Bakteriell bedingte</w:t>
      </w:r>
      <w:r w:rsidRPr="004F0D02">
        <w:t xml:space="preserve"> Krankheiten </w:t>
      </w:r>
      <w:r w:rsidR="00755DAA">
        <w:t xml:space="preserve">müssen </w:t>
      </w:r>
      <w:r w:rsidRPr="004F0D02">
        <w:t>effizient behandelt werden, um die Gesundheit und das Wohlergehen der Tiere zu gewährleisten.</w:t>
      </w:r>
    </w:p>
    <w:p w:rsidR="004F0D02" w:rsidRDefault="004F0D02" w:rsidP="004F0D02">
      <w:pPr>
        <w:spacing w:line="276" w:lineRule="auto"/>
        <w:rPr>
          <w:rFonts w:ascii="HelveticaNeueLT Pro 55 Roman" w:hAnsi="HelveticaNeueLT Pro 55 Roman"/>
        </w:rPr>
      </w:pPr>
    </w:p>
    <w:p w:rsidR="00B45D38" w:rsidRPr="00DD1431" w:rsidRDefault="002C7E7B" w:rsidP="00DD1431">
      <w:pPr>
        <w:spacing w:line="276" w:lineRule="auto"/>
        <w:ind w:left="708"/>
        <w:rPr>
          <w:rFonts w:ascii="HelveticaNeueLT Pro 55 Roman" w:hAnsi="HelveticaNeueLT Pro 55 Roman"/>
          <w:b/>
        </w:rPr>
      </w:pPr>
      <w:r w:rsidRPr="00DD1431">
        <w:rPr>
          <w:rFonts w:ascii="HelveticaNeueLT Pro 55 Roman" w:hAnsi="HelveticaNeueLT Pro 55 Roman"/>
          <w:b/>
        </w:rPr>
        <w:t xml:space="preserve">5. </w:t>
      </w:r>
      <w:proofErr w:type="spellStart"/>
      <w:r w:rsidRPr="00DD1431">
        <w:rPr>
          <w:rFonts w:ascii="HelveticaNeueLT Pro 55 Roman" w:hAnsi="HelveticaNeueLT Pro 55 Roman"/>
          <w:b/>
        </w:rPr>
        <w:t>One</w:t>
      </w:r>
      <w:proofErr w:type="spellEnd"/>
      <w:r w:rsidRPr="00DD1431">
        <w:rPr>
          <w:rFonts w:ascii="HelveticaNeueLT Pro 55 Roman" w:hAnsi="HelveticaNeueLT Pro 55 Roman"/>
          <w:b/>
        </w:rPr>
        <w:t xml:space="preserve"> </w:t>
      </w:r>
      <w:proofErr w:type="spellStart"/>
      <w:r w:rsidRPr="00DD1431">
        <w:rPr>
          <w:rFonts w:ascii="HelveticaNeueLT Pro 55 Roman" w:hAnsi="HelveticaNeueLT Pro 55 Roman"/>
          <w:b/>
        </w:rPr>
        <w:t>Health</w:t>
      </w:r>
      <w:proofErr w:type="spellEnd"/>
    </w:p>
    <w:p w:rsidR="002C7E7B" w:rsidRPr="004F0D02" w:rsidRDefault="002C7E7B" w:rsidP="004F0D02">
      <w:pPr>
        <w:spacing w:line="276" w:lineRule="auto"/>
        <w:rPr>
          <w:rFonts w:ascii="HelveticaNeueLT Pro 55 Roman" w:hAnsi="HelveticaNeueLT Pro 55 Roman"/>
        </w:rPr>
      </w:pPr>
    </w:p>
    <w:p w:rsidR="00BA55F9" w:rsidRPr="00BA55F9" w:rsidRDefault="00BA55F9" w:rsidP="00BA55F9">
      <w:pPr>
        <w:spacing w:line="276" w:lineRule="auto"/>
        <w:rPr>
          <w:rFonts w:ascii="HelveticaNeueLT Pro 55 Roman" w:hAnsi="HelveticaNeueLT Pro 55 Roman"/>
        </w:rPr>
      </w:pPr>
      <w:r w:rsidRPr="00BA55F9">
        <w:rPr>
          <w:rFonts w:ascii="HelveticaNeueLT Pro 55 Roman" w:hAnsi="HelveticaNeueLT Pro 55 Roman"/>
          <w:b/>
        </w:rPr>
        <w:t>Wie wir einen Beitrag leisten können</w:t>
      </w:r>
      <w:r w:rsidRPr="00BA55F9">
        <w:rPr>
          <w:rFonts w:ascii="HelveticaNeueLT Pro 55 Roman" w:hAnsi="HelveticaNeueLT Pro 55 Roman"/>
        </w:rPr>
        <w:t>: Angesichts des Anstiegs der Weltbevölkerung und der daraus resultierenden Nachfrage nach Nahrung leben Mensch und Tier in größerer Nähe nebeneinander. Zunehmender Handel und Klimawandel verstärken auch die Übertragung von durch Vektoren übertragenen Krankheiten und neuen, in Europa unbekannten Zoonosen. Durch die Bereitstellung innovativer Instrumente zur Vorbeugung neuer und neu auftretender Krankheiten können wir dazu beitragen, Infektionen bei Tieren zu verringern, die Lebensmittelsicherheit zu verbessern und die Erträge von Lebensmitteln zu steigern. Kurz gesagt: Gesunde Tiere bedeuten gesunde Menschen und einen intakten Planeten.</w:t>
      </w:r>
    </w:p>
    <w:p w:rsidR="00BA55F9" w:rsidRPr="00BA55F9" w:rsidRDefault="00BA55F9" w:rsidP="00BA55F9">
      <w:pPr>
        <w:spacing w:line="276" w:lineRule="auto"/>
        <w:rPr>
          <w:rFonts w:ascii="HelveticaNeueLT Pro 55 Roman" w:hAnsi="HelveticaNeueLT Pro 55 Roman"/>
        </w:rPr>
      </w:pPr>
    </w:p>
    <w:p w:rsidR="002C7E7B" w:rsidRPr="004F0D02" w:rsidRDefault="00BA55F9" w:rsidP="00BA55F9">
      <w:pPr>
        <w:spacing w:line="276" w:lineRule="auto"/>
        <w:rPr>
          <w:rFonts w:ascii="HelveticaNeueLT Pro 55 Roman" w:hAnsi="HelveticaNeueLT Pro 55 Roman"/>
        </w:rPr>
      </w:pPr>
      <w:r w:rsidRPr="00BA55F9">
        <w:rPr>
          <w:rFonts w:ascii="HelveticaNeueLT Pro 55 Roman" w:hAnsi="HelveticaNeueLT Pro 55 Roman"/>
          <w:b/>
        </w:rPr>
        <w:t>Unsere Bitte:</w:t>
      </w:r>
      <w:r w:rsidRPr="00BA55F9">
        <w:rPr>
          <w:rFonts w:ascii="HelveticaNeueLT Pro 55 Roman" w:hAnsi="HelveticaNeueLT Pro 55 Roman"/>
        </w:rPr>
        <w:t xml:space="preserve"> Wie von der WHO erwähnt, ist die Lebensmittelsicherheit ein Arbeitsfeld, in dem der </w:t>
      </w:r>
      <w:proofErr w:type="spellStart"/>
      <w:r w:rsidRPr="00BA55F9">
        <w:rPr>
          <w:rFonts w:ascii="HelveticaNeueLT Pro 55 Roman" w:hAnsi="HelveticaNeueLT Pro 55 Roman"/>
        </w:rPr>
        <w:t>One</w:t>
      </w:r>
      <w:proofErr w:type="spellEnd"/>
      <w:r w:rsidRPr="00BA55F9">
        <w:rPr>
          <w:rFonts w:ascii="HelveticaNeueLT Pro 55 Roman" w:hAnsi="HelveticaNeueLT Pro 55 Roman"/>
        </w:rPr>
        <w:t xml:space="preserve"> </w:t>
      </w:r>
      <w:proofErr w:type="spellStart"/>
      <w:r w:rsidRPr="00BA55F9">
        <w:rPr>
          <w:rFonts w:ascii="HelveticaNeueLT Pro 55 Roman" w:hAnsi="HelveticaNeueLT Pro 55 Roman"/>
        </w:rPr>
        <w:t>Health</w:t>
      </w:r>
      <w:proofErr w:type="spellEnd"/>
      <w:r w:rsidRPr="00BA55F9">
        <w:rPr>
          <w:rFonts w:ascii="HelveticaNeueLT Pro 55 Roman" w:hAnsi="HelveticaNeueLT Pro 55 Roman"/>
        </w:rPr>
        <w:t xml:space="preserve">-Ansatz besonders relevant ist. Wir nutzen diese Gelegenheit, um unsere seit langem bestehende Forderung </w:t>
      </w:r>
      <w:r w:rsidR="00E4492C">
        <w:rPr>
          <w:rFonts w:ascii="HelveticaNeueLT Pro 55 Roman" w:hAnsi="HelveticaNeueLT Pro 55 Roman"/>
        </w:rPr>
        <w:t xml:space="preserve">zu bekräftigen, </w:t>
      </w:r>
      <w:r w:rsidR="00E4492C" w:rsidRPr="00E4492C">
        <w:rPr>
          <w:rFonts w:ascii="HelveticaNeueLT Pro 55 Roman" w:hAnsi="HelveticaNeueLT Pro 55 Roman"/>
        </w:rPr>
        <w:t xml:space="preserve">parallel zur EU </w:t>
      </w:r>
      <w:proofErr w:type="spellStart"/>
      <w:r w:rsidR="00E4492C" w:rsidRPr="00E4492C">
        <w:rPr>
          <w:rFonts w:ascii="HelveticaNeueLT Pro 55 Roman" w:hAnsi="HelveticaNeueLT Pro 55 Roman"/>
        </w:rPr>
        <w:t>One</w:t>
      </w:r>
      <w:proofErr w:type="spellEnd"/>
      <w:r w:rsidR="00E4492C" w:rsidRPr="00E4492C">
        <w:rPr>
          <w:rFonts w:ascii="HelveticaNeueLT Pro 55 Roman" w:hAnsi="HelveticaNeueLT Pro 55 Roman"/>
        </w:rPr>
        <w:t xml:space="preserve"> </w:t>
      </w:r>
      <w:proofErr w:type="spellStart"/>
      <w:r w:rsidR="00E4492C" w:rsidRPr="00E4492C">
        <w:rPr>
          <w:rFonts w:ascii="HelveticaNeueLT Pro 55 Roman" w:hAnsi="HelveticaNeueLT Pro 55 Roman"/>
        </w:rPr>
        <w:t>Health</w:t>
      </w:r>
      <w:proofErr w:type="spellEnd"/>
      <w:r w:rsidR="00E4492C" w:rsidRPr="00E4492C">
        <w:rPr>
          <w:rFonts w:ascii="HelveticaNeueLT Pro 55 Roman" w:hAnsi="HelveticaNeueLT Pro 55 Roman"/>
        </w:rPr>
        <w:t>-Plattform für die Mitgliedstaaten</w:t>
      </w:r>
      <w:r w:rsidR="00E4492C">
        <w:rPr>
          <w:rFonts w:ascii="HelveticaNeueLT Pro 55 Roman" w:hAnsi="HelveticaNeueLT Pro 55 Roman"/>
        </w:rPr>
        <w:t xml:space="preserve"> auch eine</w:t>
      </w:r>
      <w:r w:rsidRPr="00BA55F9">
        <w:rPr>
          <w:rFonts w:ascii="HelveticaNeueLT Pro 55 Roman" w:hAnsi="HelveticaNeueLT Pro 55 Roman"/>
        </w:rPr>
        <w:t xml:space="preserve"> </w:t>
      </w:r>
      <w:proofErr w:type="spellStart"/>
      <w:r w:rsidRPr="00BA55F9">
        <w:rPr>
          <w:rFonts w:ascii="HelveticaNeueLT Pro 55 Roman" w:hAnsi="HelveticaNeueLT Pro 55 Roman"/>
        </w:rPr>
        <w:t>One</w:t>
      </w:r>
      <w:proofErr w:type="spellEnd"/>
      <w:r w:rsidRPr="00BA55F9">
        <w:rPr>
          <w:rFonts w:ascii="HelveticaNeueLT Pro 55 Roman" w:hAnsi="HelveticaNeueLT Pro 55 Roman"/>
        </w:rPr>
        <w:t xml:space="preserve"> </w:t>
      </w:r>
      <w:proofErr w:type="spellStart"/>
      <w:r w:rsidRPr="00BA55F9">
        <w:rPr>
          <w:rFonts w:ascii="HelveticaNeueLT Pro 55 Roman" w:hAnsi="HelveticaNeueLT Pro 55 Roman"/>
        </w:rPr>
        <w:t>Health</w:t>
      </w:r>
      <w:proofErr w:type="spellEnd"/>
      <w:r w:rsidRPr="00BA55F9">
        <w:rPr>
          <w:rFonts w:ascii="HelveticaNeueLT Pro 55 Roman" w:hAnsi="HelveticaNeueLT Pro 55 Roman"/>
        </w:rPr>
        <w:t>-Plattform für Interessen</w:t>
      </w:r>
      <w:r w:rsidR="007A0E5F">
        <w:rPr>
          <w:rFonts w:ascii="HelveticaNeueLT Pro 55 Roman" w:hAnsi="HelveticaNeueLT Pro 55 Roman"/>
        </w:rPr>
        <w:t>sgruppen</w:t>
      </w:r>
      <w:r w:rsidRPr="00BA55F9">
        <w:rPr>
          <w:rFonts w:ascii="HelveticaNeueLT Pro 55 Roman" w:hAnsi="HelveticaNeueLT Pro 55 Roman"/>
        </w:rPr>
        <w:t xml:space="preserve"> </w:t>
      </w:r>
      <w:r w:rsidR="00E4492C">
        <w:rPr>
          <w:rFonts w:ascii="HelveticaNeueLT Pro 55 Roman" w:hAnsi="HelveticaNeueLT Pro 55 Roman"/>
        </w:rPr>
        <w:t>zu etablieren</w:t>
      </w:r>
      <w:r w:rsidRPr="00BA55F9">
        <w:rPr>
          <w:rFonts w:ascii="HelveticaNeueLT Pro 55 Roman" w:hAnsi="HelveticaNeueLT Pro 55 Roman"/>
        </w:rPr>
        <w:t xml:space="preserve">, um Fortschritte bei diesem gemeinsamen Ansatz </w:t>
      </w:r>
      <w:r w:rsidR="007A0E5F">
        <w:rPr>
          <w:rFonts w:ascii="HelveticaNeueLT Pro 55 Roman" w:hAnsi="HelveticaNeueLT Pro 55 Roman"/>
        </w:rPr>
        <w:t>voranzutreiben</w:t>
      </w:r>
      <w:r w:rsidRPr="00BA55F9">
        <w:rPr>
          <w:rFonts w:ascii="HelveticaNeueLT Pro 55 Roman" w:hAnsi="HelveticaNeueLT Pro 55 Roman"/>
        </w:rPr>
        <w:t>.</w:t>
      </w:r>
    </w:p>
    <w:p w:rsidR="00BA55F9" w:rsidRDefault="00BA55F9" w:rsidP="004F0D02">
      <w:pPr>
        <w:spacing w:line="276" w:lineRule="auto"/>
        <w:rPr>
          <w:rFonts w:ascii="HelveticaNeueLT Pro 55 Roman" w:hAnsi="HelveticaNeueLT Pro 55 Roman"/>
          <w:highlight w:val="yellow"/>
        </w:rPr>
      </w:pPr>
    </w:p>
    <w:p w:rsidR="002C7E7B" w:rsidRPr="004F0D02" w:rsidRDefault="00E818D8" w:rsidP="004F0D02">
      <w:pPr>
        <w:spacing w:line="276" w:lineRule="auto"/>
        <w:rPr>
          <w:rFonts w:ascii="HelveticaNeueLT Pro 55 Roman" w:hAnsi="HelveticaNeueLT Pro 55 Roman"/>
        </w:rPr>
      </w:pPr>
      <w:r>
        <w:rPr>
          <w:rFonts w:ascii="HelveticaNeueLT Pro 55 Roman" w:hAnsi="HelveticaNeueLT Pro 55 Roman"/>
          <w:noProof/>
          <w:lang w:eastAsia="de-DE"/>
        </w:rPr>
        <w:lastRenderedPageBreak/>
        <w:drawing>
          <wp:inline distT="0" distB="0" distL="0" distR="0">
            <wp:extent cx="5755640" cy="31394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_Health_TwitterCard_final.png"/>
                    <pic:cNvPicPr/>
                  </pic:nvPicPr>
                  <pic:blipFill>
                    <a:blip r:embed="rId13">
                      <a:extLst>
                        <a:ext uri="{28A0092B-C50C-407E-A947-70E740481C1C}">
                          <a14:useLocalDpi xmlns:a14="http://schemas.microsoft.com/office/drawing/2010/main" val="0"/>
                        </a:ext>
                      </a:extLst>
                    </a:blip>
                    <a:stretch>
                      <a:fillRect/>
                    </a:stretch>
                  </pic:blipFill>
                  <pic:spPr>
                    <a:xfrm>
                      <a:off x="0" y="0"/>
                      <a:ext cx="5755640" cy="3139440"/>
                    </a:xfrm>
                    <a:prstGeom prst="rect">
                      <a:avLst/>
                    </a:prstGeom>
                  </pic:spPr>
                </pic:pic>
              </a:graphicData>
            </a:graphic>
          </wp:inline>
        </w:drawing>
      </w:r>
    </w:p>
    <w:p w:rsidR="00E818D8" w:rsidRDefault="00E818D8" w:rsidP="00BA55F9">
      <w:pPr>
        <w:spacing w:line="276" w:lineRule="auto"/>
        <w:ind w:left="708"/>
        <w:rPr>
          <w:rFonts w:ascii="HelveticaNeueLT Pro 55 Roman" w:hAnsi="HelveticaNeueLT Pro 55 Roman"/>
          <w:b/>
        </w:rPr>
      </w:pPr>
    </w:p>
    <w:p w:rsidR="002C7E7B" w:rsidRPr="00BA55F9" w:rsidRDefault="00205E25" w:rsidP="00BA55F9">
      <w:pPr>
        <w:spacing w:line="276" w:lineRule="auto"/>
        <w:ind w:left="708"/>
        <w:rPr>
          <w:rFonts w:ascii="HelveticaNeueLT Pro 55 Roman" w:hAnsi="HelveticaNeueLT Pro 55 Roman"/>
          <w:b/>
        </w:rPr>
      </w:pPr>
      <w:r w:rsidRPr="00BA55F9">
        <w:rPr>
          <w:rFonts w:ascii="HelveticaNeueLT Pro 55 Roman" w:hAnsi="HelveticaNeueLT Pro 55 Roman"/>
          <w:b/>
        </w:rPr>
        <w:t>6. Landwirtschaft und Ernährungsgewohnheiten</w:t>
      </w:r>
    </w:p>
    <w:p w:rsidR="00205E25" w:rsidRPr="004F0D02" w:rsidRDefault="00205E25" w:rsidP="004F0D02">
      <w:pPr>
        <w:spacing w:line="276" w:lineRule="auto"/>
        <w:rPr>
          <w:rFonts w:ascii="HelveticaNeueLT Pro 55 Roman" w:hAnsi="HelveticaNeueLT Pro 55 Roman"/>
        </w:rPr>
      </w:pPr>
    </w:p>
    <w:p w:rsidR="00B42995" w:rsidRDefault="00B42995" w:rsidP="004F0D02">
      <w:pPr>
        <w:spacing w:line="276" w:lineRule="auto"/>
        <w:rPr>
          <w:rFonts w:ascii="HelveticaNeueLT Pro 55 Roman" w:hAnsi="HelveticaNeueLT Pro 55 Roman"/>
        </w:rPr>
      </w:pPr>
      <w:r w:rsidRPr="00B42995">
        <w:rPr>
          <w:rFonts w:ascii="HelveticaNeueLT Pro 55 Roman" w:hAnsi="HelveticaNeueLT Pro 55 Roman"/>
          <w:b/>
        </w:rPr>
        <w:t>Wie wir einen Beitrag leisten können:</w:t>
      </w:r>
      <w:r w:rsidRPr="00B42995">
        <w:rPr>
          <w:rFonts w:ascii="HelveticaNeueLT Pro 55 Roman" w:hAnsi="HelveticaNeueLT Pro 55 Roman"/>
        </w:rPr>
        <w:t xml:space="preserve"> </w:t>
      </w:r>
      <w:r w:rsidR="00E4492C" w:rsidRPr="00E4492C">
        <w:rPr>
          <w:rFonts w:ascii="HelveticaNeueLT Pro 55 Roman" w:hAnsi="HelveticaNeueLT Pro 55 Roman"/>
        </w:rPr>
        <w:t>Tiergesundheit und Tierschutz sind in allen Arten von landwirtschaftlichen Betrieben von größter Bedeutung</w:t>
      </w:r>
      <w:r w:rsidRPr="00B42995">
        <w:rPr>
          <w:rFonts w:ascii="HelveticaNeueLT Pro 55 Roman" w:hAnsi="HelveticaNeueLT Pro 55 Roman"/>
        </w:rPr>
        <w:t xml:space="preserve">. Wenn eine nachhaltige Nahrungsmittelproduktion das Hauptziel sein soll, muss die Strategie "Farm </w:t>
      </w:r>
      <w:proofErr w:type="spellStart"/>
      <w:r w:rsidRPr="00B42995">
        <w:rPr>
          <w:rFonts w:ascii="HelveticaNeueLT Pro 55 Roman" w:hAnsi="HelveticaNeueLT Pro 55 Roman"/>
        </w:rPr>
        <w:t>to</w:t>
      </w:r>
      <w:proofErr w:type="spellEnd"/>
      <w:r w:rsidRPr="00B42995">
        <w:rPr>
          <w:rFonts w:ascii="HelveticaNeueLT Pro 55 Roman" w:hAnsi="HelveticaNeueLT Pro 55 Roman"/>
        </w:rPr>
        <w:t xml:space="preserve"> </w:t>
      </w:r>
      <w:proofErr w:type="spellStart"/>
      <w:r w:rsidRPr="00B42995">
        <w:rPr>
          <w:rFonts w:ascii="HelveticaNeueLT Pro 55 Roman" w:hAnsi="HelveticaNeueLT Pro 55 Roman"/>
        </w:rPr>
        <w:t>Fork</w:t>
      </w:r>
      <w:proofErr w:type="spellEnd"/>
      <w:r w:rsidRPr="00B42995">
        <w:rPr>
          <w:rFonts w:ascii="HelveticaNeueLT Pro 55 Roman" w:hAnsi="HelveticaNeueLT Pro 55 Roman"/>
        </w:rPr>
        <w:t xml:space="preserve">" </w:t>
      </w:r>
      <w:r w:rsidR="00E4492C">
        <w:rPr>
          <w:rFonts w:ascii="HelveticaNeueLT Pro 55 Roman" w:hAnsi="HelveticaNeueLT Pro 55 Roman"/>
        </w:rPr>
        <w:t xml:space="preserve">– wo immer möglich - </w:t>
      </w:r>
      <w:r w:rsidRPr="00B42995">
        <w:rPr>
          <w:rFonts w:ascii="HelveticaNeueLT Pro 55 Roman" w:hAnsi="HelveticaNeueLT Pro 55 Roman"/>
        </w:rPr>
        <w:t xml:space="preserve">die verschiedenen Landwirtschaftssysteme unterstützen, die in der Lage sind, sich sowohl an den Klimawandel anzupassen als auch die </w:t>
      </w:r>
      <w:r w:rsidR="00E4492C" w:rsidRPr="00E4492C">
        <w:rPr>
          <w:rFonts w:ascii="HelveticaNeueLT Pro 55 Roman" w:hAnsi="HelveticaNeueLT Pro 55 Roman"/>
        </w:rPr>
        <w:t xml:space="preserve">Ernährungssicherheit </w:t>
      </w:r>
      <w:r w:rsidR="00E4492C">
        <w:rPr>
          <w:rFonts w:ascii="HelveticaNeueLT Pro 55 Roman" w:hAnsi="HelveticaNeueLT Pro 55 Roman"/>
        </w:rPr>
        <w:t xml:space="preserve">zu </w:t>
      </w:r>
      <w:r w:rsidR="00E4492C" w:rsidRPr="00E4492C">
        <w:rPr>
          <w:rFonts w:ascii="HelveticaNeueLT Pro 55 Roman" w:hAnsi="HelveticaNeueLT Pro 55 Roman"/>
        </w:rPr>
        <w:t xml:space="preserve">gewährleisten </w:t>
      </w:r>
      <w:r w:rsidRPr="00B42995">
        <w:rPr>
          <w:rFonts w:ascii="HelveticaNeueLT Pro 55 Roman" w:hAnsi="HelveticaNeueLT Pro 55 Roman"/>
        </w:rPr>
        <w:t xml:space="preserve">und gleichzeitig den vollen Zugang zu den verfügbaren </w:t>
      </w:r>
      <w:r w:rsidR="004C2A68">
        <w:rPr>
          <w:rFonts w:ascii="HelveticaNeueLT Pro 55 Roman" w:hAnsi="HelveticaNeueLT Pro 55 Roman"/>
        </w:rPr>
        <w:t>tiermedizinischen</w:t>
      </w:r>
      <w:r w:rsidRPr="00B42995">
        <w:rPr>
          <w:rFonts w:ascii="HelveticaNeueLT Pro 55 Roman" w:hAnsi="HelveticaNeueLT Pro 55 Roman"/>
        </w:rPr>
        <w:t xml:space="preserve"> Lösungen zur Vorbeugung und Behandlung von Tierkrankheiten zu gewährleisten. Durch die Bereitstellung dieser Lösungen leistet die Tiergesundheits</w:t>
      </w:r>
      <w:r w:rsidR="00E4492C">
        <w:rPr>
          <w:rFonts w:ascii="HelveticaNeueLT Pro 55 Roman" w:hAnsi="HelveticaNeueLT Pro 55 Roman"/>
        </w:rPr>
        <w:t>branche</w:t>
      </w:r>
      <w:r w:rsidRPr="00B42995">
        <w:rPr>
          <w:rFonts w:ascii="HelveticaNeueLT Pro 55 Roman" w:hAnsi="HelveticaNeueLT Pro 55 Roman"/>
        </w:rPr>
        <w:t xml:space="preserve"> einen wichtigen Beitrag sowohl für die ländlichen Gebiete Europas als auch für die Nachhaltigkeit</w:t>
      </w:r>
      <w:r w:rsidR="004C2A68">
        <w:rPr>
          <w:rFonts w:ascii="HelveticaNeueLT Pro 55 Roman" w:hAnsi="HelveticaNeueLT Pro 55 Roman"/>
        </w:rPr>
        <w:t xml:space="preserve"> global</w:t>
      </w:r>
      <w:r w:rsidR="00E4492C">
        <w:rPr>
          <w:rFonts w:ascii="HelveticaNeueLT Pro 55 Roman" w:hAnsi="HelveticaNeueLT Pro 55 Roman"/>
        </w:rPr>
        <w:t xml:space="preserve">. Dies </w:t>
      </w:r>
      <w:r w:rsidRPr="00B42995">
        <w:rPr>
          <w:rFonts w:ascii="HelveticaNeueLT Pro 55 Roman" w:hAnsi="HelveticaNeueLT Pro 55 Roman"/>
        </w:rPr>
        <w:t xml:space="preserve">insbesondere in den Gebieten der Welt, </w:t>
      </w:r>
      <w:r w:rsidR="004C2A68">
        <w:rPr>
          <w:rFonts w:ascii="HelveticaNeueLT Pro 55 Roman" w:hAnsi="HelveticaNeueLT Pro 55 Roman"/>
        </w:rPr>
        <w:t xml:space="preserve">in denen der </w:t>
      </w:r>
      <w:r w:rsidRPr="00B42995">
        <w:rPr>
          <w:rFonts w:ascii="HelveticaNeueLT Pro 55 Roman" w:hAnsi="HelveticaNeueLT Pro 55 Roman"/>
        </w:rPr>
        <w:t xml:space="preserve">Lebensunterhalt stark von Tieren abhängig </w:t>
      </w:r>
      <w:r w:rsidR="004C2A68">
        <w:rPr>
          <w:rFonts w:ascii="HelveticaNeueLT Pro 55 Roman" w:hAnsi="HelveticaNeueLT Pro 55 Roman"/>
        </w:rPr>
        <w:t>ist</w:t>
      </w:r>
      <w:r w:rsidRPr="00B42995">
        <w:rPr>
          <w:rFonts w:ascii="HelveticaNeueLT Pro 55 Roman" w:hAnsi="HelveticaNeueLT Pro 55 Roman"/>
        </w:rPr>
        <w:t>. Eine nachhaltige Nahrungsmittelversorgung ist für die Ernährung einer wachsenden Weltbevölkerung unerlässlich, und unsere Tools und Therapien zur Krankheitsprävention tragen dazu bei, dies durch eine sichere und gesicherte Versorgung mit tierischen Proteinen zu ermöglichen.</w:t>
      </w:r>
    </w:p>
    <w:p w:rsidR="00B42995" w:rsidRDefault="00B42995" w:rsidP="004F0D02">
      <w:pPr>
        <w:spacing w:line="276" w:lineRule="auto"/>
        <w:rPr>
          <w:rFonts w:ascii="HelveticaNeueLT Pro 55 Roman" w:hAnsi="HelveticaNeueLT Pro 55 Roman"/>
        </w:rPr>
      </w:pPr>
    </w:p>
    <w:p w:rsidR="002C7E7B" w:rsidRPr="004F0D02" w:rsidRDefault="00B42995" w:rsidP="00B42995">
      <w:pPr>
        <w:spacing w:line="276" w:lineRule="auto"/>
        <w:rPr>
          <w:rFonts w:ascii="HelveticaNeueLT Pro 55 Roman" w:hAnsi="HelveticaNeueLT Pro 55 Roman"/>
        </w:rPr>
      </w:pPr>
      <w:r w:rsidRPr="00B42995">
        <w:rPr>
          <w:rFonts w:ascii="HelveticaNeueLT Pro 55 Roman" w:hAnsi="HelveticaNeueLT Pro 55 Roman"/>
          <w:b/>
        </w:rPr>
        <w:t>Unsere Bitte:</w:t>
      </w:r>
      <w:r w:rsidRPr="00B42995">
        <w:rPr>
          <w:rFonts w:ascii="HelveticaNeueLT Pro 55 Roman" w:hAnsi="HelveticaNeueLT Pro 55 Roman"/>
        </w:rPr>
        <w:t xml:space="preserve"> Wir ermutigen die Europäische Kommission, evidenzbasierte und faktengeprüfte Informationen zu sammeln. Es ist wichtig, dass der Verbraucher Zugang zu solchen Informationen in verständlicher Form hat, so dass der Verbraucher eine informierte Entscheidung über seine Lebensmittelpräferenzen treffen kann. Wir fordern die Kommission auf, den Einsatz moderner digitaler Tools zur Information der Verbraucher zu fördern.</w:t>
      </w:r>
    </w:p>
    <w:p w:rsidR="00205E25" w:rsidRPr="004F0D02" w:rsidRDefault="00205E25" w:rsidP="004F0D02">
      <w:pPr>
        <w:spacing w:line="276" w:lineRule="auto"/>
        <w:rPr>
          <w:rFonts w:ascii="HelveticaNeueLT Pro 55 Roman" w:hAnsi="HelveticaNeueLT Pro 55 Roman"/>
        </w:rPr>
      </w:pPr>
    </w:p>
    <w:p w:rsidR="00B42995" w:rsidRDefault="00B42995" w:rsidP="00B42995">
      <w:pPr>
        <w:spacing w:line="276" w:lineRule="auto"/>
        <w:rPr>
          <w:rFonts w:ascii="HelveticaNeueLT Pro 55 Roman" w:hAnsi="HelveticaNeueLT Pro 55 Roman"/>
        </w:rPr>
      </w:pPr>
      <w:r w:rsidRPr="00B42995">
        <w:rPr>
          <w:rFonts w:ascii="HelveticaNeueLT Pro 55 Roman" w:hAnsi="HelveticaNeueLT Pro 55 Roman"/>
        </w:rPr>
        <w:t xml:space="preserve">Sollte die Europäische Kommission die </w:t>
      </w:r>
      <w:proofErr w:type="spellStart"/>
      <w:r w:rsidRPr="00B42995">
        <w:rPr>
          <w:rFonts w:ascii="HelveticaNeueLT Pro 55 Roman" w:hAnsi="HelveticaNeueLT Pro 55 Roman"/>
        </w:rPr>
        <w:t>Tier</w:t>
      </w:r>
      <w:r w:rsidR="004C2A68">
        <w:rPr>
          <w:rFonts w:ascii="HelveticaNeueLT Pro 55 Roman" w:hAnsi="HelveticaNeueLT Pro 55 Roman"/>
        </w:rPr>
        <w:t>wohl</w:t>
      </w:r>
      <w:proofErr w:type="spellEnd"/>
      <w:r w:rsidR="00E4492C">
        <w:rPr>
          <w:rFonts w:ascii="HelveticaNeueLT Pro 55 Roman" w:hAnsi="HelveticaNeueLT Pro 55 Roman"/>
        </w:rPr>
        <w:t>/Tierschutz</w:t>
      </w:r>
      <w:r w:rsidRPr="00B42995">
        <w:rPr>
          <w:rFonts w:ascii="HelveticaNeueLT Pro 55 Roman" w:hAnsi="HelveticaNeueLT Pro 55 Roman"/>
        </w:rPr>
        <w:t xml:space="preserve">kennzeichnung von Lebensmitteln in Betracht ziehen, ist es wichtig zu berücksichtigen, dass die Tiergesundheit der wichtigste Wegbereiter für den Tierschutz </w:t>
      </w:r>
      <w:r w:rsidR="004C2A68">
        <w:rPr>
          <w:rFonts w:ascii="HelveticaNeueLT Pro 55 Roman" w:hAnsi="HelveticaNeueLT Pro 55 Roman"/>
        </w:rPr>
        <w:t xml:space="preserve">und das </w:t>
      </w:r>
      <w:proofErr w:type="spellStart"/>
      <w:r w:rsidR="004C2A68">
        <w:rPr>
          <w:rFonts w:ascii="HelveticaNeueLT Pro 55 Roman" w:hAnsi="HelveticaNeueLT Pro 55 Roman"/>
        </w:rPr>
        <w:t>Tierwohl</w:t>
      </w:r>
      <w:proofErr w:type="spellEnd"/>
      <w:r w:rsidR="004C2A68">
        <w:rPr>
          <w:rFonts w:ascii="HelveticaNeueLT Pro 55 Roman" w:hAnsi="HelveticaNeueLT Pro 55 Roman"/>
        </w:rPr>
        <w:t xml:space="preserve"> </w:t>
      </w:r>
      <w:r w:rsidRPr="00B42995">
        <w:rPr>
          <w:rFonts w:ascii="HelveticaNeueLT Pro 55 Roman" w:hAnsi="HelveticaNeueLT Pro 55 Roman"/>
        </w:rPr>
        <w:t>ist.</w:t>
      </w:r>
    </w:p>
    <w:p w:rsidR="004C2A68" w:rsidRPr="00B42995" w:rsidRDefault="004C2A68" w:rsidP="00B42995">
      <w:pPr>
        <w:spacing w:line="276" w:lineRule="auto"/>
        <w:rPr>
          <w:rFonts w:ascii="HelveticaNeueLT Pro 55 Roman" w:hAnsi="HelveticaNeueLT Pro 55 Roman"/>
        </w:rPr>
      </w:pPr>
    </w:p>
    <w:p w:rsidR="00B42995" w:rsidRDefault="00B42995" w:rsidP="00B42995">
      <w:pPr>
        <w:spacing w:line="276" w:lineRule="auto"/>
        <w:rPr>
          <w:rFonts w:ascii="HelveticaNeueLT Pro 55 Roman" w:hAnsi="HelveticaNeueLT Pro 55 Roman"/>
        </w:rPr>
      </w:pPr>
      <w:r w:rsidRPr="00B42995">
        <w:rPr>
          <w:rFonts w:ascii="HelveticaNeueLT Pro 55 Roman" w:hAnsi="HelveticaNeueLT Pro 55 Roman"/>
        </w:rPr>
        <w:t xml:space="preserve">Fleisch, Milch, Fisch und Eier leisten einen wichtigen Beitrag zur globalen Kalorien- und Proteinversorgung und können eine wichtige Quelle für lebensnotwendige Mikronährstoffe in der menschlichen Ernährung sein. Sie spielen auch eine wichtige Rolle in vielen europäischen Kulturen und </w:t>
      </w:r>
      <w:r w:rsidR="004C2A68">
        <w:rPr>
          <w:rFonts w:ascii="HelveticaNeueLT Pro 55 Roman" w:hAnsi="HelveticaNeueLT Pro 55 Roman"/>
        </w:rPr>
        <w:t xml:space="preserve">deren </w:t>
      </w:r>
      <w:r w:rsidRPr="00B42995">
        <w:rPr>
          <w:rFonts w:ascii="HelveticaNeueLT Pro 55 Roman" w:hAnsi="HelveticaNeueLT Pro 55 Roman"/>
        </w:rPr>
        <w:t xml:space="preserve">Ernährungstraditionen, so dass ihre Verfügbarkeit in unserer </w:t>
      </w:r>
      <w:r w:rsidR="004C2A68">
        <w:rPr>
          <w:rFonts w:ascii="HelveticaNeueLT Pro 55 Roman" w:hAnsi="HelveticaNeueLT Pro 55 Roman"/>
        </w:rPr>
        <w:t>heutigen wie</w:t>
      </w:r>
      <w:r w:rsidRPr="00B42995">
        <w:rPr>
          <w:rFonts w:ascii="HelveticaNeueLT Pro 55 Roman" w:hAnsi="HelveticaNeueLT Pro 55 Roman"/>
        </w:rPr>
        <w:t xml:space="preserve"> künftigen Ernährungsstruktur nicht beeinträchtigt werden sollte.</w:t>
      </w:r>
    </w:p>
    <w:p w:rsidR="004C2A68" w:rsidRPr="00B42995" w:rsidRDefault="004C2A68" w:rsidP="00B42995">
      <w:pPr>
        <w:spacing w:line="276" w:lineRule="auto"/>
        <w:rPr>
          <w:rFonts w:ascii="HelveticaNeueLT Pro 55 Roman" w:hAnsi="HelveticaNeueLT Pro 55 Roman"/>
        </w:rPr>
      </w:pPr>
    </w:p>
    <w:p w:rsidR="00205E25" w:rsidRPr="004F0D02" w:rsidRDefault="00B42995" w:rsidP="00B42995">
      <w:pPr>
        <w:spacing w:line="276" w:lineRule="auto"/>
        <w:rPr>
          <w:rFonts w:ascii="HelveticaNeueLT Pro 55 Roman" w:hAnsi="HelveticaNeueLT Pro 55 Roman" w:cs="Arial"/>
        </w:rPr>
      </w:pPr>
      <w:r w:rsidRPr="00B42995">
        <w:rPr>
          <w:rFonts w:ascii="HelveticaNeueLT Pro 55 Roman" w:hAnsi="HelveticaNeueLT Pro 55 Roman"/>
        </w:rPr>
        <w:t>Die Aufklärung über Tiergesundheit und den verantwortungsvollen Umgang mit Arzneimitteln, Standards für sichere Arzneimittel sowie der Zugang zu qualitativ hochwertigen Produkten sollten unterstützt werden und den Bürgern zugänglich sein.</w:t>
      </w:r>
    </w:p>
    <w:p w:rsidR="00205E25" w:rsidRDefault="00205E25" w:rsidP="004F0D02">
      <w:pPr>
        <w:spacing w:line="276" w:lineRule="auto"/>
        <w:rPr>
          <w:rFonts w:ascii="HelveticaNeueLT Pro 55 Roman" w:hAnsi="HelveticaNeueLT Pro 55 Roman" w:cs="Arial"/>
        </w:rPr>
      </w:pPr>
    </w:p>
    <w:p w:rsidR="00B143D3" w:rsidRDefault="00B143D3" w:rsidP="00B143D3">
      <w:pPr>
        <w:spacing w:line="276" w:lineRule="auto"/>
        <w:rPr>
          <w:rFonts w:ascii="HelveticaNeueLT Pro 55 Roman" w:hAnsi="HelveticaNeueLT Pro 55 Roman" w:cs="Arial"/>
        </w:rPr>
      </w:pP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r>
      <w:r>
        <w:rPr>
          <w:rFonts w:ascii="HelveticaNeueLT Pro 55 Roman" w:hAnsi="HelveticaNeueLT Pro 55 Roman" w:cs="Arial"/>
        </w:rPr>
        <w:softHyphen/>
        <w:t>________________________</w:t>
      </w:r>
    </w:p>
    <w:p w:rsidR="00B143D3" w:rsidRDefault="00B143D3" w:rsidP="00B143D3">
      <w:pPr>
        <w:spacing w:line="276" w:lineRule="auto"/>
        <w:rPr>
          <w:rFonts w:ascii="HelveticaNeueLT Pro 55 Roman" w:hAnsi="HelveticaNeueLT Pro 55 Roman" w:cs="Arial"/>
        </w:rPr>
      </w:pPr>
    </w:p>
    <w:p w:rsidR="00B143D3" w:rsidRPr="004F0D02" w:rsidRDefault="00B143D3" w:rsidP="00B143D3">
      <w:pPr>
        <w:spacing w:line="276" w:lineRule="auto"/>
        <w:rPr>
          <w:rFonts w:ascii="HelveticaNeueLT Pro 55 Roman" w:hAnsi="HelveticaNeueLT Pro 55 Roman" w:cs="Arial"/>
        </w:rPr>
      </w:pPr>
      <w:r w:rsidRPr="004F0D02">
        <w:rPr>
          <w:rFonts w:ascii="HelveticaNeueLT Pro 55 Roman" w:hAnsi="HelveticaNeueLT Pro 55 Roman" w:cs="Arial"/>
        </w:rPr>
        <w:t>Weitere Informationen: Bundesverband für Tiergesundheit e.V.</w:t>
      </w:r>
    </w:p>
    <w:p w:rsidR="00B143D3" w:rsidRPr="004F0D02" w:rsidRDefault="00B143D3" w:rsidP="00B143D3">
      <w:pPr>
        <w:spacing w:line="276" w:lineRule="auto"/>
        <w:rPr>
          <w:rFonts w:ascii="HelveticaNeueLT Pro 55 Roman" w:hAnsi="HelveticaNeueLT Pro 55 Roman" w:cs="Arial"/>
        </w:rPr>
      </w:pPr>
      <w:r w:rsidRPr="004F0D02">
        <w:rPr>
          <w:rFonts w:ascii="HelveticaNeueLT Pro 55 Roman" w:hAnsi="HelveticaNeueLT Pro 55 Roman" w:cs="Arial"/>
        </w:rPr>
        <w:t xml:space="preserve">Dr. Sabine Schüller, Schwertberger Str. 14,53177 Bonn, </w:t>
      </w:r>
    </w:p>
    <w:p w:rsidR="00B143D3" w:rsidRPr="004F0D02" w:rsidRDefault="00B143D3" w:rsidP="00B143D3">
      <w:pPr>
        <w:spacing w:line="276" w:lineRule="auto"/>
        <w:rPr>
          <w:rFonts w:ascii="HelveticaNeueLT Pro 55 Roman" w:hAnsi="HelveticaNeueLT Pro 55 Roman" w:cs="Arial"/>
        </w:rPr>
      </w:pPr>
      <w:r w:rsidRPr="004F0D02">
        <w:rPr>
          <w:rFonts w:ascii="HelveticaNeueLT Pro 55 Roman" w:hAnsi="HelveticaNeueLT Pro 55 Roman" w:cs="Arial"/>
        </w:rPr>
        <w:t xml:space="preserve">Tel. 0228 / 31 82 96, E-Mail bft@bft-online.de, </w:t>
      </w:r>
      <w:hyperlink r:id="rId14" w:history="1">
        <w:r w:rsidRPr="004F0D02">
          <w:rPr>
            <w:rStyle w:val="Hyperlink"/>
            <w:rFonts w:ascii="HelveticaNeueLT Pro 55 Roman" w:hAnsi="HelveticaNeueLT Pro 55 Roman" w:cs="Arial"/>
          </w:rPr>
          <w:t>www.bft-online.de</w:t>
        </w:r>
      </w:hyperlink>
      <w:r w:rsidRPr="004F0D02">
        <w:rPr>
          <w:rFonts w:ascii="HelveticaNeueLT Pro 55 Roman" w:hAnsi="HelveticaNeueLT Pro 55 Roman" w:cs="Arial"/>
        </w:rPr>
        <w:br/>
      </w:r>
    </w:p>
    <w:p w:rsidR="00B143D3" w:rsidRPr="004F0D02" w:rsidRDefault="00B143D3" w:rsidP="00B143D3">
      <w:pPr>
        <w:spacing w:line="276" w:lineRule="auto"/>
        <w:rPr>
          <w:rFonts w:ascii="HelveticaNeueLT Pro 55 Roman" w:hAnsi="HelveticaNeueLT Pro 55 Roman" w:cs="Arial"/>
        </w:rPr>
      </w:pPr>
      <w:r w:rsidRPr="004F0D02">
        <w:rPr>
          <w:rFonts w:ascii="HelveticaNeueLT Pro 55 Roman" w:hAnsi="HelveticaNeueLT Pro 55 Roman" w:cs="Arial"/>
        </w:rPr>
        <w:t>Stand 20.05.2020</w:t>
      </w:r>
    </w:p>
    <w:p w:rsidR="00822F69" w:rsidRPr="004F0D02" w:rsidRDefault="00822F69" w:rsidP="00B143D3">
      <w:pPr>
        <w:spacing w:line="276" w:lineRule="auto"/>
        <w:rPr>
          <w:rFonts w:ascii="HelveticaNeueLT Pro 55 Roman" w:hAnsi="HelveticaNeueLT Pro 55 Roman" w:cs="Arial"/>
        </w:rPr>
      </w:pPr>
    </w:p>
    <w:sectPr w:rsidR="00822F69" w:rsidRPr="004F0D02" w:rsidSect="00201149">
      <w:headerReference w:type="default" r:id="rId15"/>
      <w:footerReference w:type="default" r:id="rId16"/>
      <w:headerReference w:type="first" r:id="rId17"/>
      <w:pgSz w:w="11900" w:h="16840"/>
      <w:pgMar w:top="1658" w:right="1418" w:bottom="1276" w:left="1418" w:header="709" w:footer="709"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D41" w:rsidRDefault="00876D41" w:rsidP="002E7121">
      <w:r>
        <w:separator/>
      </w:r>
    </w:p>
  </w:endnote>
  <w:endnote w:type="continuationSeparator" w:id="0">
    <w:p w:rsidR="00876D41" w:rsidRDefault="00876D41" w:rsidP="002E7121">
      <w:r>
        <w:continuationSeparator/>
      </w:r>
    </w:p>
  </w:endnote>
  <w:endnote w:id="1">
    <w:p w:rsidR="00037553" w:rsidRDefault="00037553">
      <w:pPr>
        <w:pStyle w:val="Endnotentext"/>
      </w:pPr>
    </w:p>
  </w:endnote>
  <w:endnote w:id="2">
    <w:p w:rsidR="00A13261" w:rsidRDefault="00A13261" w:rsidP="00897067">
      <w:pPr>
        <w:pStyle w:val="Endnotentext"/>
        <w:tabs>
          <w:tab w:val="left" w:pos="3130"/>
        </w:tabs>
      </w:pPr>
    </w:p>
  </w:endnote>
  <w:endnote w:id="3">
    <w:p w:rsidR="00A13261" w:rsidRDefault="00C41E7E">
      <w:pPr>
        <w:pStyle w:val="Endnotentext"/>
        <w:rPr>
          <w:iCs/>
        </w:rPr>
      </w:pPr>
      <w:r>
        <w:rPr>
          <w:iCs/>
        </w:rPr>
        <w:t xml:space="preserve">Quellen: </w:t>
      </w:r>
    </w:p>
    <w:p w:rsidR="00897067" w:rsidRPr="00C41E7E" w:rsidRDefault="00897067">
      <w:pPr>
        <w:pStyle w:val="Endnotentext"/>
        <w:rPr>
          <w:iCs/>
          <w:lang w:val="en-US"/>
        </w:rPr>
      </w:pPr>
      <w:proofErr w:type="spellStart"/>
      <w:r w:rsidRPr="00C41E7E">
        <w:rPr>
          <w:iCs/>
          <w:lang w:val="en-US"/>
        </w:rPr>
        <w:t>i</w:t>
      </w:r>
      <w:proofErr w:type="spellEnd"/>
      <w:r w:rsidRPr="00C41E7E">
        <w:rPr>
          <w:iCs/>
          <w:lang w:val="en-US"/>
        </w:rPr>
        <w:t xml:space="preserve"> </w:t>
      </w:r>
      <w:hyperlink r:id="rId1" w:anchor="data/EI/visualize" w:history="1">
        <w:r w:rsidRPr="00C41E7E">
          <w:rPr>
            <w:rStyle w:val="Hyperlink"/>
            <w:iCs/>
            <w:lang w:val="en-US"/>
          </w:rPr>
          <w:t>http://www.fao.org/faostat/en/#data/EI/visualize</w:t>
        </w:r>
      </w:hyperlink>
    </w:p>
    <w:p w:rsidR="00897067" w:rsidRPr="00C41E7E" w:rsidRDefault="00897067" w:rsidP="00897067">
      <w:pPr>
        <w:pStyle w:val="Endnotentext"/>
        <w:rPr>
          <w:lang w:val="en-US"/>
        </w:rPr>
      </w:pPr>
      <w:r w:rsidRPr="00C41E7E">
        <w:rPr>
          <w:lang w:val="en-US"/>
        </w:rPr>
        <w:t xml:space="preserve">ii </w:t>
      </w:r>
      <w:hyperlink r:id="rId2" w:history="1">
        <w:r w:rsidRPr="00C41E7E">
          <w:rPr>
            <w:rStyle w:val="Hyperlink"/>
            <w:lang w:val="en-US"/>
          </w:rPr>
          <w:t>http://www.fao.org/news/story/en/item/197623/icode/</w:t>
        </w:r>
      </w:hyperlink>
    </w:p>
    <w:p w:rsidR="00897067" w:rsidRPr="00C41E7E" w:rsidRDefault="00897067" w:rsidP="00897067">
      <w:pPr>
        <w:pStyle w:val="Endnotentext"/>
        <w:rPr>
          <w:lang w:val="en-US"/>
        </w:rPr>
      </w:pPr>
      <w:r w:rsidRPr="00C41E7E">
        <w:rPr>
          <w:lang w:val="en-US"/>
        </w:rPr>
        <w:t xml:space="preserve">iii </w:t>
      </w:r>
      <w:hyperlink r:id="rId3" w:history="1">
        <w:r w:rsidRPr="00C41E7E">
          <w:rPr>
            <w:rStyle w:val="Hyperlink"/>
            <w:lang w:val="en-US"/>
          </w:rPr>
          <w:t>https://www.ema.europa.eu/en/documents/leaflet/responsible-use-antibiotics-protects-animals-people-2011-2017-sales-antibiotics-veterinary-use-are_en.pdf</w:t>
        </w:r>
      </w:hyperlink>
    </w:p>
    <w:p w:rsidR="00897067" w:rsidRDefault="00897067" w:rsidP="00897067">
      <w:pPr>
        <w:pStyle w:val="Endnotentext"/>
      </w:pPr>
      <w:r>
        <w:t xml:space="preserve">iv </w:t>
      </w:r>
      <w:proofErr w:type="spellStart"/>
      <w:r>
        <w:t>Hocquette</w:t>
      </w:r>
      <w:proofErr w:type="spellEnd"/>
      <w:r>
        <w:t xml:space="preserve">, </w:t>
      </w:r>
      <w:proofErr w:type="spellStart"/>
      <w:r>
        <w:t>Mollier</w:t>
      </w:r>
      <w:proofErr w:type="spellEnd"/>
      <w:r>
        <w:t xml:space="preserve">, </w:t>
      </w:r>
      <w:proofErr w:type="spellStart"/>
      <w:r>
        <w:t>Darmon</w:t>
      </w:r>
      <w:proofErr w:type="spellEnd"/>
      <w:r>
        <w:t xml:space="preserve">, </w:t>
      </w:r>
      <w:proofErr w:type="spellStart"/>
      <w:r>
        <w:t>Peyraud</w:t>
      </w:r>
      <w:proofErr w:type="spellEnd"/>
      <w:r>
        <w:t>, 2019</w:t>
      </w:r>
    </w:p>
    <w:p w:rsidR="00897067" w:rsidRDefault="00897067" w:rsidP="00897067">
      <w:pPr>
        <w:pStyle w:val="Endnotentext"/>
      </w:pPr>
      <w:r>
        <w:t>v Mottet et al., 2018</w:t>
      </w:r>
    </w:p>
    <w:p w:rsidR="00897067" w:rsidRDefault="00897067" w:rsidP="00897067">
      <w:pPr>
        <w:pStyle w:val="Endnotentext"/>
      </w:pPr>
      <w:r>
        <w:t xml:space="preserve">vi </w:t>
      </w:r>
      <w:proofErr w:type="spellStart"/>
      <w:r>
        <w:t>Hocquette</w:t>
      </w:r>
      <w:proofErr w:type="spellEnd"/>
      <w:r>
        <w:t xml:space="preserve">, </w:t>
      </w:r>
      <w:proofErr w:type="spellStart"/>
      <w:r>
        <w:t>Mollier</w:t>
      </w:r>
      <w:proofErr w:type="spellEnd"/>
      <w:r>
        <w:t xml:space="preserve">, </w:t>
      </w:r>
      <w:proofErr w:type="spellStart"/>
      <w:r>
        <w:t>Darmon</w:t>
      </w:r>
      <w:proofErr w:type="spellEnd"/>
      <w:r>
        <w:t xml:space="preserve">, </w:t>
      </w:r>
      <w:proofErr w:type="spellStart"/>
      <w:r>
        <w:t>Peyraud</w:t>
      </w:r>
      <w:proofErr w:type="spellEnd"/>
      <w:r>
        <w:t>, 2019</w:t>
      </w:r>
    </w:p>
    <w:p w:rsidR="00897067" w:rsidRPr="00897067" w:rsidRDefault="00897067" w:rsidP="00897067">
      <w:pPr>
        <w:pStyle w:val="Endnotentext"/>
        <w:rPr>
          <w:lang w:val="nl-NL"/>
        </w:rPr>
      </w:pPr>
      <w:r w:rsidRPr="00897067">
        <w:rPr>
          <w:lang w:val="nl-NL"/>
        </w:rPr>
        <w:t xml:space="preserve">vii OIE, 2015, </w:t>
      </w:r>
      <w:hyperlink r:id="rId4" w:history="1">
        <w:r w:rsidRPr="00C41E7E">
          <w:rPr>
            <w:rStyle w:val="Hyperlink"/>
            <w:lang w:val="nl-NL"/>
          </w:rPr>
          <w:t>https://www.oie.int/fileadmin/Home/eng/Media_Center/docs/pdf/Key_Documents/ANIMAL-HEALTH-EN-FINAL.pdf</w:t>
        </w:r>
      </w:hyperlink>
      <w:r w:rsidR="00C41E7E">
        <w:rPr>
          <w:lang w:val="nl-N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Helvetica Neue LT Pro 75">
    <w:altName w:val="Arial"/>
    <w:panose1 w:val="00000000000000000000"/>
    <w:charset w:val="4D"/>
    <w:family w:val="swiss"/>
    <w:notTrueType/>
    <w:pitch w:val="variable"/>
    <w:sig w:usb0="800000AF" w:usb1="5000205B" w:usb2="00000000" w:usb3="00000000" w:csb0="0000009B" w:csb1="00000000"/>
  </w:font>
  <w:font w:name="DengXian Light">
    <w:altName w:val="等线 Light"/>
    <w:charset w:val="86"/>
    <w:family w:val="auto"/>
    <w:pitch w:val="variable"/>
    <w:sig w:usb0="A00002BF" w:usb1="38CF7CFA" w:usb2="00000016" w:usb3="00000000" w:csb0="0004000F" w:csb1="00000000"/>
  </w:font>
  <w:font w:name="Helvetica Neue LT Pro 45 Light">
    <w:altName w:val="Arial"/>
    <w:panose1 w:val="00000000000000000000"/>
    <w:charset w:val="4D"/>
    <w:family w:val="swiss"/>
    <w:notTrueType/>
    <w:pitch w:val="variable"/>
    <w:sig w:usb0="800000AF" w:usb1="5000205B" w:usb2="00000000" w:usb3="00000000" w:csb0="0000009B" w:csb1="00000000"/>
  </w:font>
  <w:font w:name="Helvetica Neue LT Pro 56">
    <w:altName w:val="Arial"/>
    <w:panose1 w:val="00000000000000000000"/>
    <w:charset w:val="4D"/>
    <w:family w:val="swiss"/>
    <w:notTrueType/>
    <w:pitch w:val="variable"/>
    <w:sig w:usb0="8000002F" w:usb1="5000204A" w:usb2="00000000" w:usb3="00000000" w:csb0="0000009B" w:csb1="00000000"/>
  </w:font>
  <w:font w:name="Helvetica Neue LT Pro 65 Medium">
    <w:altName w:val="Arial"/>
    <w:panose1 w:val="00000000000000000000"/>
    <w:charset w:val="4D"/>
    <w:family w:val="swiss"/>
    <w:notTrueType/>
    <w:pitch w:val="variable"/>
    <w:sig w:usb0="800000AF" w:usb1="5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HelveticaNeueLT Pro 55 Roman">
    <w:panose1 w:val="020B0604020202020204"/>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730985"/>
      <w:docPartObj>
        <w:docPartGallery w:val="Page Numbers (Bottom of Page)"/>
        <w:docPartUnique/>
      </w:docPartObj>
    </w:sdtPr>
    <w:sdtEndPr>
      <w:rPr>
        <w:noProof/>
      </w:rPr>
    </w:sdtEndPr>
    <w:sdtContent>
      <w:p w:rsidR="00201149" w:rsidRDefault="00201149" w:rsidP="00201149">
        <w:pPr>
          <w:pStyle w:val="Fuzeile"/>
          <w:jc w:val="right"/>
        </w:pPr>
        <w:r>
          <w:fldChar w:fldCharType="begin"/>
        </w:r>
        <w:r>
          <w:instrText xml:space="preserve"> PAGE   \* MERGEFORMAT </w:instrText>
        </w:r>
        <w:r>
          <w:fldChar w:fldCharType="separate"/>
        </w:r>
        <w:r w:rsidR="00905556">
          <w:rPr>
            <w:noProof/>
          </w:rPr>
          <w:t>3</w:t>
        </w:r>
        <w:r>
          <w:rPr>
            <w:noProof/>
          </w:rPr>
          <w:fldChar w:fldCharType="end"/>
        </w:r>
      </w:p>
    </w:sdtContent>
  </w:sdt>
  <w:p w:rsidR="00201149" w:rsidRDefault="0020114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D41" w:rsidRDefault="00876D41" w:rsidP="002E7121">
      <w:r>
        <w:separator/>
      </w:r>
    </w:p>
  </w:footnote>
  <w:footnote w:type="continuationSeparator" w:id="0">
    <w:p w:rsidR="00876D41" w:rsidRDefault="00876D41" w:rsidP="002E7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F1" w:rsidRDefault="006B4BE4" w:rsidP="006B4BE4">
    <w:pPr>
      <w:pStyle w:val="Kopfzeile"/>
      <w:tabs>
        <w:tab w:val="left" w:pos="7655"/>
      </w:tabs>
      <w:jc w:val="right"/>
    </w:pPr>
    <w:r>
      <w:rPr>
        <w:noProof/>
        <w:lang w:eastAsia="de-DE"/>
      </w:rPr>
      <w:drawing>
        <wp:anchor distT="0" distB="0" distL="114300" distR="114300" simplePos="0" relativeHeight="251672576" behindDoc="0" locked="0" layoutInCell="1" allowOverlap="1" wp14:anchorId="2DA0E771" wp14:editId="3F1B58AD">
          <wp:simplePos x="0" y="0"/>
          <wp:positionH relativeFrom="margin">
            <wp:posOffset>-541655</wp:posOffset>
          </wp:positionH>
          <wp:positionV relativeFrom="margin">
            <wp:posOffset>-759460</wp:posOffset>
          </wp:positionV>
          <wp:extent cx="1781810" cy="697865"/>
          <wp:effectExtent l="0" t="0" r="8890" b="698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81810" cy="697865"/>
                  </a:xfrm>
                  <a:prstGeom prst="rect">
                    <a:avLst/>
                  </a:prstGeom>
                </pic:spPr>
              </pic:pic>
            </a:graphicData>
          </a:graphic>
        </wp:anchor>
      </w:drawing>
    </w:r>
    <w:r w:rsidR="00FB17D8">
      <w:rPr>
        <w:noProof/>
        <w:lang w:eastAsia="de-DE"/>
      </w:rPr>
      <w:drawing>
        <wp:inline distT="0" distB="0" distL="0" distR="0" wp14:anchorId="2544EC2A" wp14:editId="5BE5A8D4">
          <wp:extent cx="6631388" cy="969658"/>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56849" cy="973381"/>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7" w:rsidRDefault="00F841F1" w:rsidP="00F841F1">
    <w:pPr>
      <w:pStyle w:val="Kopfzeile"/>
    </w:pPr>
    <w:r>
      <w:rPr>
        <w:noProof/>
        <w:lang w:eastAsia="de-DE"/>
      </w:rPr>
      <w:drawing>
        <wp:anchor distT="0" distB="0" distL="114300" distR="114300" simplePos="0" relativeHeight="251671552" behindDoc="1" locked="1" layoutInCell="1" allowOverlap="0" wp14:anchorId="45DDCADA" wp14:editId="68BBDC18">
          <wp:simplePos x="0" y="0"/>
          <wp:positionH relativeFrom="column">
            <wp:posOffset>-900430</wp:posOffset>
          </wp:positionH>
          <wp:positionV relativeFrom="paragraph">
            <wp:posOffset>-437515</wp:posOffset>
          </wp:positionV>
          <wp:extent cx="7543800" cy="110299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566304"/>
    <w:lvl w:ilvl="0">
      <w:start w:val="1"/>
      <w:numFmt w:val="decimal"/>
      <w:lvlText w:val="%1."/>
      <w:lvlJc w:val="left"/>
      <w:pPr>
        <w:tabs>
          <w:tab w:val="num" w:pos="1492"/>
        </w:tabs>
        <w:ind w:left="1492" w:hanging="360"/>
      </w:pPr>
    </w:lvl>
  </w:abstractNum>
  <w:abstractNum w:abstractNumId="1">
    <w:nsid w:val="FFFFFF7D"/>
    <w:multiLevelType w:val="singleLevel"/>
    <w:tmpl w:val="19C4B7C0"/>
    <w:lvl w:ilvl="0">
      <w:start w:val="1"/>
      <w:numFmt w:val="decimal"/>
      <w:lvlText w:val="%1."/>
      <w:lvlJc w:val="left"/>
      <w:pPr>
        <w:tabs>
          <w:tab w:val="num" w:pos="1209"/>
        </w:tabs>
        <w:ind w:left="1209" w:hanging="360"/>
      </w:pPr>
    </w:lvl>
  </w:abstractNum>
  <w:abstractNum w:abstractNumId="2">
    <w:nsid w:val="FFFFFF7E"/>
    <w:multiLevelType w:val="singleLevel"/>
    <w:tmpl w:val="0C72F76C"/>
    <w:lvl w:ilvl="0">
      <w:start w:val="1"/>
      <w:numFmt w:val="decimal"/>
      <w:lvlText w:val="%1."/>
      <w:lvlJc w:val="left"/>
      <w:pPr>
        <w:tabs>
          <w:tab w:val="num" w:pos="926"/>
        </w:tabs>
        <w:ind w:left="926" w:hanging="360"/>
      </w:pPr>
    </w:lvl>
  </w:abstractNum>
  <w:abstractNum w:abstractNumId="3">
    <w:nsid w:val="FFFFFF7F"/>
    <w:multiLevelType w:val="singleLevel"/>
    <w:tmpl w:val="FE0CDBEC"/>
    <w:lvl w:ilvl="0">
      <w:start w:val="1"/>
      <w:numFmt w:val="decimal"/>
      <w:lvlText w:val="%1."/>
      <w:lvlJc w:val="left"/>
      <w:pPr>
        <w:tabs>
          <w:tab w:val="num" w:pos="643"/>
        </w:tabs>
        <w:ind w:left="643" w:hanging="360"/>
      </w:pPr>
    </w:lvl>
  </w:abstractNum>
  <w:abstractNum w:abstractNumId="4">
    <w:nsid w:val="FFFFFF80"/>
    <w:multiLevelType w:val="singleLevel"/>
    <w:tmpl w:val="60CA7C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6CF7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1488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EA77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B0D2A0"/>
    <w:lvl w:ilvl="0">
      <w:start w:val="1"/>
      <w:numFmt w:val="decimal"/>
      <w:lvlText w:val="%1."/>
      <w:lvlJc w:val="left"/>
      <w:pPr>
        <w:tabs>
          <w:tab w:val="num" w:pos="360"/>
        </w:tabs>
        <w:ind w:left="360" w:hanging="360"/>
      </w:pPr>
    </w:lvl>
  </w:abstractNum>
  <w:abstractNum w:abstractNumId="9">
    <w:nsid w:val="FFFFFF89"/>
    <w:multiLevelType w:val="singleLevel"/>
    <w:tmpl w:val="2B5262F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42364973"/>
    <w:multiLevelType w:val="hybridMultilevel"/>
    <w:tmpl w:val="22B025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597A68D4"/>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742B57A5"/>
    <w:multiLevelType w:val="hybridMultilevel"/>
    <w:tmpl w:val="84BCC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D2"/>
    <w:rsid w:val="0001435E"/>
    <w:rsid w:val="00022458"/>
    <w:rsid w:val="0002652A"/>
    <w:rsid w:val="00037553"/>
    <w:rsid w:val="0004580D"/>
    <w:rsid w:val="00052E94"/>
    <w:rsid w:val="00057C8E"/>
    <w:rsid w:val="000B7F49"/>
    <w:rsid w:val="000C2CC0"/>
    <w:rsid w:val="000C772B"/>
    <w:rsid w:val="000D529B"/>
    <w:rsid w:val="000D733E"/>
    <w:rsid w:val="000E04E6"/>
    <w:rsid w:val="000E36E1"/>
    <w:rsid w:val="000F64C2"/>
    <w:rsid w:val="00156CFD"/>
    <w:rsid w:val="00182A78"/>
    <w:rsid w:val="00195963"/>
    <w:rsid w:val="001964FA"/>
    <w:rsid w:val="001A0C4D"/>
    <w:rsid w:val="001A23BA"/>
    <w:rsid w:val="001B11A3"/>
    <w:rsid w:val="001C12C7"/>
    <w:rsid w:val="001D1CA5"/>
    <w:rsid w:val="00201149"/>
    <w:rsid w:val="00205E25"/>
    <w:rsid w:val="00212FF5"/>
    <w:rsid w:val="00215E8E"/>
    <w:rsid w:val="00242135"/>
    <w:rsid w:val="00247F66"/>
    <w:rsid w:val="0025005A"/>
    <w:rsid w:val="00255039"/>
    <w:rsid w:val="00257DE2"/>
    <w:rsid w:val="00262253"/>
    <w:rsid w:val="0026738C"/>
    <w:rsid w:val="00273E50"/>
    <w:rsid w:val="002B7EFD"/>
    <w:rsid w:val="002C7E7B"/>
    <w:rsid w:val="002D531C"/>
    <w:rsid w:val="002D5D55"/>
    <w:rsid w:val="002E7121"/>
    <w:rsid w:val="00300A9A"/>
    <w:rsid w:val="0030556C"/>
    <w:rsid w:val="00313E18"/>
    <w:rsid w:val="00364849"/>
    <w:rsid w:val="00366470"/>
    <w:rsid w:val="00372F57"/>
    <w:rsid w:val="00387C33"/>
    <w:rsid w:val="003C09E4"/>
    <w:rsid w:val="003D038D"/>
    <w:rsid w:val="003D689D"/>
    <w:rsid w:val="003F7D38"/>
    <w:rsid w:val="00403D18"/>
    <w:rsid w:val="004126B6"/>
    <w:rsid w:val="0042015C"/>
    <w:rsid w:val="00441239"/>
    <w:rsid w:val="004435B8"/>
    <w:rsid w:val="00454BCF"/>
    <w:rsid w:val="004751BA"/>
    <w:rsid w:val="0048459B"/>
    <w:rsid w:val="004A4B54"/>
    <w:rsid w:val="004B1088"/>
    <w:rsid w:val="004B5AE9"/>
    <w:rsid w:val="004C2A68"/>
    <w:rsid w:val="004D1479"/>
    <w:rsid w:val="004D4441"/>
    <w:rsid w:val="004E2846"/>
    <w:rsid w:val="004F0D02"/>
    <w:rsid w:val="004F51AA"/>
    <w:rsid w:val="005065D9"/>
    <w:rsid w:val="00510249"/>
    <w:rsid w:val="0054185D"/>
    <w:rsid w:val="00545B07"/>
    <w:rsid w:val="00581F0F"/>
    <w:rsid w:val="005914EF"/>
    <w:rsid w:val="00592195"/>
    <w:rsid w:val="005A216F"/>
    <w:rsid w:val="005B2ECD"/>
    <w:rsid w:val="005B682C"/>
    <w:rsid w:val="005E1EB1"/>
    <w:rsid w:val="0060584B"/>
    <w:rsid w:val="006211D3"/>
    <w:rsid w:val="00625A66"/>
    <w:rsid w:val="00627272"/>
    <w:rsid w:val="00631120"/>
    <w:rsid w:val="00633C97"/>
    <w:rsid w:val="0063496D"/>
    <w:rsid w:val="00662F78"/>
    <w:rsid w:val="006640E2"/>
    <w:rsid w:val="006646E9"/>
    <w:rsid w:val="006709C9"/>
    <w:rsid w:val="00672781"/>
    <w:rsid w:val="00672C96"/>
    <w:rsid w:val="00682639"/>
    <w:rsid w:val="0069199F"/>
    <w:rsid w:val="006B48B9"/>
    <w:rsid w:val="006B4BE4"/>
    <w:rsid w:val="006C1608"/>
    <w:rsid w:val="006C60A5"/>
    <w:rsid w:val="006E3551"/>
    <w:rsid w:val="006F32CF"/>
    <w:rsid w:val="00714F52"/>
    <w:rsid w:val="007152B3"/>
    <w:rsid w:val="00731247"/>
    <w:rsid w:val="00733A23"/>
    <w:rsid w:val="00745A9D"/>
    <w:rsid w:val="00750F3C"/>
    <w:rsid w:val="00753251"/>
    <w:rsid w:val="00755DAA"/>
    <w:rsid w:val="00770BD2"/>
    <w:rsid w:val="0078073F"/>
    <w:rsid w:val="00781BDD"/>
    <w:rsid w:val="007957F9"/>
    <w:rsid w:val="007A0E5F"/>
    <w:rsid w:val="007E2D81"/>
    <w:rsid w:val="007E3831"/>
    <w:rsid w:val="0081080E"/>
    <w:rsid w:val="00813826"/>
    <w:rsid w:val="00813C5E"/>
    <w:rsid w:val="00822783"/>
    <w:rsid w:val="00822F69"/>
    <w:rsid w:val="008449A7"/>
    <w:rsid w:val="008466FB"/>
    <w:rsid w:val="00846874"/>
    <w:rsid w:val="00850065"/>
    <w:rsid w:val="0086417D"/>
    <w:rsid w:val="0086624F"/>
    <w:rsid w:val="00872339"/>
    <w:rsid w:val="00872725"/>
    <w:rsid w:val="00873F45"/>
    <w:rsid w:val="00876D41"/>
    <w:rsid w:val="0088535D"/>
    <w:rsid w:val="00890942"/>
    <w:rsid w:val="008937DB"/>
    <w:rsid w:val="00897067"/>
    <w:rsid w:val="008A2453"/>
    <w:rsid w:val="008B53AB"/>
    <w:rsid w:val="008C0B0F"/>
    <w:rsid w:val="008C0F53"/>
    <w:rsid w:val="008D1827"/>
    <w:rsid w:val="008E4C28"/>
    <w:rsid w:val="008E7990"/>
    <w:rsid w:val="00902FD3"/>
    <w:rsid w:val="00905556"/>
    <w:rsid w:val="009139B7"/>
    <w:rsid w:val="00934F97"/>
    <w:rsid w:val="00936160"/>
    <w:rsid w:val="00970AE3"/>
    <w:rsid w:val="00974035"/>
    <w:rsid w:val="00981AF8"/>
    <w:rsid w:val="00986D99"/>
    <w:rsid w:val="009A2F94"/>
    <w:rsid w:val="009B0260"/>
    <w:rsid w:val="009B7E10"/>
    <w:rsid w:val="009C31E7"/>
    <w:rsid w:val="009E110B"/>
    <w:rsid w:val="009F653A"/>
    <w:rsid w:val="009F657C"/>
    <w:rsid w:val="00A13261"/>
    <w:rsid w:val="00A24794"/>
    <w:rsid w:val="00A85A12"/>
    <w:rsid w:val="00AA2AE0"/>
    <w:rsid w:val="00AA5B52"/>
    <w:rsid w:val="00AB2FB5"/>
    <w:rsid w:val="00AC45DB"/>
    <w:rsid w:val="00AD56D4"/>
    <w:rsid w:val="00AD5C71"/>
    <w:rsid w:val="00AF23F8"/>
    <w:rsid w:val="00B1203D"/>
    <w:rsid w:val="00B143D3"/>
    <w:rsid w:val="00B27217"/>
    <w:rsid w:val="00B30E06"/>
    <w:rsid w:val="00B33425"/>
    <w:rsid w:val="00B373E7"/>
    <w:rsid w:val="00B424B1"/>
    <w:rsid w:val="00B42995"/>
    <w:rsid w:val="00B45D38"/>
    <w:rsid w:val="00B4602E"/>
    <w:rsid w:val="00B47F9D"/>
    <w:rsid w:val="00B502C2"/>
    <w:rsid w:val="00B54566"/>
    <w:rsid w:val="00B746F5"/>
    <w:rsid w:val="00B847F7"/>
    <w:rsid w:val="00BA55F9"/>
    <w:rsid w:val="00BB05F4"/>
    <w:rsid w:val="00BB1160"/>
    <w:rsid w:val="00BB2BE2"/>
    <w:rsid w:val="00BD159F"/>
    <w:rsid w:val="00BD57A1"/>
    <w:rsid w:val="00BE61E0"/>
    <w:rsid w:val="00BF11B3"/>
    <w:rsid w:val="00C0098E"/>
    <w:rsid w:val="00C00DA9"/>
    <w:rsid w:val="00C16C53"/>
    <w:rsid w:val="00C20301"/>
    <w:rsid w:val="00C27749"/>
    <w:rsid w:val="00C32433"/>
    <w:rsid w:val="00C3247B"/>
    <w:rsid w:val="00C408C7"/>
    <w:rsid w:val="00C41103"/>
    <w:rsid w:val="00C41E7E"/>
    <w:rsid w:val="00C543D2"/>
    <w:rsid w:val="00C66E52"/>
    <w:rsid w:val="00C75D47"/>
    <w:rsid w:val="00C7702B"/>
    <w:rsid w:val="00C84A52"/>
    <w:rsid w:val="00C9156B"/>
    <w:rsid w:val="00CA0DC4"/>
    <w:rsid w:val="00CA4B46"/>
    <w:rsid w:val="00CB3F9B"/>
    <w:rsid w:val="00CD6478"/>
    <w:rsid w:val="00CD67ED"/>
    <w:rsid w:val="00CE3B14"/>
    <w:rsid w:val="00CE55E1"/>
    <w:rsid w:val="00D0421F"/>
    <w:rsid w:val="00D054DA"/>
    <w:rsid w:val="00D12B06"/>
    <w:rsid w:val="00D631D0"/>
    <w:rsid w:val="00D7026D"/>
    <w:rsid w:val="00D71A95"/>
    <w:rsid w:val="00D71F4C"/>
    <w:rsid w:val="00D75B64"/>
    <w:rsid w:val="00DA0EE7"/>
    <w:rsid w:val="00DA100D"/>
    <w:rsid w:val="00DC76F5"/>
    <w:rsid w:val="00DD1431"/>
    <w:rsid w:val="00DD6403"/>
    <w:rsid w:val="00DE12E4"/>
    <w:rsid w:val="00DE2B05"/>
    <w:rsid w:val="00E04634"/>
    <w:rsid w:val="00E12E78"/>
    <w:rsid w:val="00E3172D"/>
    <w:rsid w:val="00E40DB1"/>
    <w:rsid w:val="00E420C1"/>
    <w:rsid w:val="00E4492C"/>
    <w:rsid w:val="00E50125"/>
    <w:rsid w:val="00E557ED"/>
    <w:rsid w:val="00E64046"/>
    <w:rsid w:val="00E6702C"/>
    <w:rsid w:val="00E70432"/>
    <w:rsid w:val="00E76133"/>
    <w:rsid w:val="00E814AE"/>
    <w:rsid w:val="00E818D8"/>
    <w:rsid w:val="00E82DF6"/>
    <w:rsid w:val="00E90772"/>
    <w:rsid w:val="00E95B28"/>
    <w:rsid w:val="00EA0C5D"/>
    <w:rsid w:val="00EB304E"/>
    <w:rsid w:val="00EC3A21"/>
    <w:rsid w:val="00EC57AA"/>
    <w:rsid w:val="00EF28BF"/>
    <w:rsid w:val="00F06201"/>
    <w:rsid w:val="00F16D54"/>
    <w:rsid w:val="00F2432D"/>
    <w:rsid w:val="00F41349"/>
    <w:rsid w:val="00F732C8"/>
    <w:rsid w:val="00F841F1"/>
    <w:rsid w:val="00F85BDE"/>
    <w:rsid w:val="00F96591"/>
    <w:rsid w:val="00FA13AB"/>
    <w:rsid w:val="00FB17D8"/>
    <w:rsid w:val="00FB1861"/>
    <w:rsid w:val="00FB21E2"/>
    <w:rsid w:val="00FB27DC"/>
    <w:rsid w:val="00FB5ACC"/>
    <w:rsid w:val="00FC2E02"/>
    <w:rsid w:val="00FC568C"/>
    <w:rsid w:val="00FC612A"/>
    <w:rsid w:val="00FD683D"/>
    <w:rsid w:val="00FE2B83"/>
    <w:rsid w:val="00FE44AE"/>
    <w:rsid w:val="00FE46FF"/>
    <w:rsid w:val="00FF5E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unhideWhenUsed/>
    <w:rsid w:val="00822F69"/>
    <w:rPr>
      <w:color w:val="0563C1" w:themeColor="hyperlink"/>
      <w:u w:val="single"/>
    </w:rPr>
  </w:style>
  <w:style w:type="character" w:styleId="Kommentarzeichen">
    <w:name w:val="annotation reference"/>
    <w:basedOn w:val="Absatz-Standardschriftart"/>
    <w:uiPriority w:val="99"/>
    <w:semiHidden/>
    <w:unhideWhenUsed/>
    <w:rsid w:val="00D75B64"/>
    <w:rPr>
      <w:sz w:val="16"/>
      <w:szCs w:val="16"/>
    </w:rPr>
  </w:style>
  <w:style w:type="paragraph" w:styleId="Kommentartext">
    <w:name w:val="annotation text"/>
    <w:basedOn w:val="Standard"/>
    <w:link w:val="KommentartextZchn"/>
    <w:uiPriority w:val="99"/>
    <w:semiHidden/>
    <w:unhideWhenUsed/>
    <w:rsid w:val="00D75B64"/>
    <w:rPr>
      <w:sz w:val="20"/>
      <w:szCs w:val="20"/>
    </w:rPr>
  </w:style>
  <w:style w:type="character" w:customStyle="1" w:styleId="KommentartextZchn">
    <w:name w:val="Kommentartext Zchn"/>
    <w:basedOn w:val="Absatz-Standardschriftart"/>
    <w:link w:val="Kommentartext"/>
    <w:uiPriority w:val="99"/>
    <w:semiHidden/>
    <w:rsid w:val="00D75B64"/>
    <w:rPr>
      <w:rFonts w:ascii="Helvetica Neue LT Pro 55 Roman" w:hAnsi="Helvetica Neue LT Pro 55 Roman"/>
      <w:sz w:val="20"/>
      <w:szCs w:val="20"/>
    </w:rPr>
  </w:style>
  <w:style w:type="paragraph" w:styleId="Kommentarthema">
    <w:name w:val="annotation subject"/>
    <w:basedOn w:val="Kommentartext"/>
    <w:next w:val="Kommentartext"/>
    <w:link w:val="KommentarthemaZchn"/>
    <w:uiPriority w:val="99"/>
    <w:semiHidden/>
    <w:unhideWhenUsed/>
    <w:rsid w:val="00D75B64"/>
    <w:rPr>
      <w:b/>
      <w:bCs/>
    </w:rPr>
  </w:style>
  <w:style w:type="character" w:customStyle="1" w:styleId="KommentarthemaZchn">
    <w:name w:val="Kommentarthema Zchn"/>
    <w:basedOn w:val="KommentartextZchn"/>
    <w:link w:val="Kommentarthema"/>
    <w:uiPriority w:val="99"/>
    <w:semiHidden/>
    <w:rsid w:val="00D75B64"/>
    <w:rPr>
      <w:rFonts w:ascii="Helvetica Neue LT Pro 55 Roman" w:hAnsi="Helvetica Neue LT Pro 55 Roman"/>
      <w:b/>
      <w:bCs/>
      <w:sz w:val="20"/>
      <w:szCs w:val="20"/>
    </w:rPr>
  </w:style>
  <w:style w:type="paragraph" w:customStyle="1" w:styleId="Default">
    <w:name w:val="Default"/>
    <w:rsid w:val="00B45D38"/>
    <w:pPr>
      <w:autoSpaceDE w:val="0"/>
      <w:autoSpaceDN w:val="0"/>
      <w:adjustRightInd w:val="0"/>
    </w:pPr>
    <w:rPr>
      <w:rFonts w:ascii="Trebuchet MS" w:hAnsi="Trebuchet MS" w:cs="Trebuchet MS"/>
      <w:color w:val="000000"/>
    </w:rPr>
  </w:style>
  <w:style w:type="table" w:styleId="Tabellenraster">
    <w:name w:val="Table Grid"/>
    <w:basedOn w:val="NormaleTabelle"/>
    <w:uiPriority w:val="39"/>
    <w:rsid w:val="0021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3">
    <w:name w:val="Light List Accent 3"/>
    <w:basedOn w:val="NormaleTabelle"/>
    <w:uiPriority w:val="61"/>
    <w:rsid w:val="00212FF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Endnotentext">
    <w:name w:val="endnote text"/>
    <w:basedOn w:val="Standard"/>
    <w:link w:val="EndnotentextZchn"/>
    <w:uiPriority w:val="99"/>
    <w:semiHidden/>
    <w:unhideWhenUsed/>
    <w:rsid w:val="00037553"/>
    <w:rPr>
      <w:sz w:val="20"/>
      <w:szCs w:val="20"/>
    </w:rPr>
  </w:style>
  <w:style w:type="character" w:customStyle="1" w:styleId="EndnotentextZchn">
    <w:name w:val="Endnotentext Zchn"/>
    <w:basedOn w:val="Absatz-Standardschriftart"/>
    <w:link w:val="Endnotentext"/>
    <w:uiPriority w:val="99"/>
    <w:semiHidden/>
    <w:rsid w:val="00037553"/>
    <w:rPr>
      <w:rFonts w:ascii="Helvetica Neue LT Pro 55 Roman" w:hAnsi="Helvetica Neue LT Pro 55 Roman"/>
      <w:sz w:val="20"/>
      <w:szCs w:val="20"/>
    </w:rPr>
  </w:style>
  <w:style w:type="character" w:styleId="Endnotenzeichen">
    <w:name w:val="endnote reference"/>
    <w:basedOn w:val="Absatz-Standardschriftart"/>
    <w:uiPriority w:val="99"/>
    <w:semiHidden/>
    <w:unhideWhenUsed/>
    <w:rsid w:val="00037553"/>
    <w:rPr>
      <w:vertAlign w:val="superscript"/>
    </w:rPr>
  </w:style>
  <w:style w:type="paragraph" w:styleId="Aufzhlungszeichen">
    <w:name w:val="List Bullet"/>
    <w:basedOn w:val="Standard"/>
    <w:uiPriority w:val="99"/>
    <w:unhideWhenUsed/>
    <w:rsid w:val="00755DAA"/>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unhideWhenUsed/>
    <w:rsid w:val="00822F69"/>
    <w:rPr>
      <w:color w:val="0563C1" w:themeColor="hyperlink"/>
      <w:u w:val="single"/>
    </w:rPr>
  </w:style>
  <w:style w:type="character" w:styleId="Kommentarzeichen">
    <w:name w:val="annotation reference"/>
    <w:basedOn w:val="Absatz-Standardschriftart"/>
    <w:uiPriority w:val="99"/>
    <w:semiHidden/>
    <w:unhideWhenUsed/>
    <w:rsid w:val="00D75B64"/>
    <w:rPr>
      <w:sz w:val="16"/>
      <w:szCs w:val="16"/>
    </w:rPr>
  </w:style>
  <w:style w:type="paragraph" w:styleId="Kommentartext">
    <w:name w:val="annotation text"/>
    <w:basedOn w:val="Standard"/>
    <w:link w:val="KommentartextZchn"/>
    <w:uiPriority w:val="99"/>
    <w:semiHidden/>
    <w:unhideWhenUsed/>
    <w:rsid w:val="00D75B64"/>
    <w:rPr>
      <w:sz w:val="20"/>
      <w:szCs w:val="20"/>
    </w:rPr>
  </w:style>
  <w:style w:type="character" w:customStyle="1" w:styleId="KommentartextZchn">
    <w:name w:val="Kommentartext Zchn"/>
    <w:basedOn w:val="Absatz-Standardschriftart"/>
    <w:link w:val="Kommentartext"/>
    <w:uiPriority w:val="99"/>
    <w:semiHidden/>
    <w:rsid w:val="00D75B64"/>
    <w:rPr>
      <w:rFonts w:ascii="Helvetica Neue LT Pro 55 Roman" w:hAnsi="Helvetica Neue LT Pro 55 Roman"/>
      <w:sz w:val="20"/>
      <w:szCs w:val="20"/>
    </w:rPr>
  </w:style>
  <w:style w:type="paragraph" w:styleId="Kommentarthema">
    <w:name w:val="annotation subject"/>
    <w:basedOn w:val="Kommentartext"/>
    <w:next w:val="Kommentartext"/>
    <w:link w:val="KommentarthemaZchn"/>
    <w:uiPriority w:val="99"/>
    <w:semiHidden/>
    <w:unhideWhenUsed/>
    <w:rsid w:val="00D75B64"/>
    <w:rPr>
      <w:b/>
      <w:bCs/>
    </w:rPr>
  </w:style>
  <w:style w:type="character" w:customStyle="1" w:styleId="KommentarthemaZchn">
    <w:name w:val="Kommentarthema Zchn"/>
    <w:basedOn w:val="KommentartextZchn"/>
    <w:link w:val="Kommentarthema"/>
    <w:uiPriority w:val="99"/>
    <w:semiHidden/>
    <w:rsid w:val="00D75B64"/>
    <w:rPr>
      <w:rFonts w:ascii="Helvetica Neue LT Pro 55 Roman" w:hAnsi="Helvetica Neue LT Pro 55 Roman"/>
      <w:b/>
      <w:bCs/>
      <w:sz w:val="20"/>
      <w:szCs w:val="20"/>
    </w:rPr>
  </w:style>
  <w:style w:type="paragraph" w:customStyle="1" w:styleId="Default">
    <w:name w:val="Default"/>
    <w:rsid w:val="00B45D38"/>
    <w:pPr>
      <w:autoSpaceDE w:val="0"/>
      <w:autoSpaceDN w:val="0"/>
      <w:adjustRightInd w:val="0"/>
    </w:pPr>
    <w:rPr>
      <w:rFonts w:ascii="Trebuchet MS" w:hAnsi="Trebuchet MS" w:cs="Trebuchet MS"/>
      <w:color w:val="000000"/>
    </w:rPr>
  </w:style>
  <w:style w:type="table" w:styleId="Tabellenraster">
    <w:name w:val="Table Grid"/>
    <w:basedOn w:val="NormaleTabelle"/>
    <w:uiPriority w:val="39"/>
    <w:rsid w:val="0021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3">
    <w:name w:val="Light List Accent 3"/>
    <w:basedOn w:val="NormaleTabelle"/>
    <w:uiPriority w:val="61"/>
    <w:rsid w:val="00212FF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Endnotentext">
    <w:name w:val="endnote text"/>
    <w:basedOn w:val="Standard"/>
    <w:link w:val="EndnotentextZchn"/>
    <w:uiPriority w:val="99"/>
    <w:semiHidden/>
    <w:unhideWhenUsed/>
    <w:rsid w:val="00037553"/>
    <w:rPr>
      <w:sz w:val="20"/>
      <w:szCs w:val="20"/>
    </w:rPr>
  </w:style>
  <w:style w:type="character" w:customStyle="1" w:styleId="EndnotentextZchn">
    <w:name w:val="Endnotentext Zchn"/>
    <w:basedOn w:val="Absatz-Standardschriftart"/>
    <w:link w:val="Endnotentext"/>
    <w:uiPriority w:val="99"/>
    <w:semiHidden/>
    <w:rsid w:val="00037553"/>
    <w:rPr>
      <w:rFonts w:ascii="Helvetica Neue LT Pro 55 Roman" w:hAnsi="Helvetica Neue LT Pro 55 Roman"/>
      <w:sz w:val="20"/>
      <w:szCs w:val="20"/>
    </w:rPr>
  </w:style>
  <w:style w:type="character" w:styleId="Endnotenzeichen">
    <w:name w:val="endnote reference"/>
    <w:basedOn w:val="Absatz-Standardschriftart"/>
    <w:uiPriority w:val="99"/>
    <w:semiHidden/>
    <w:unhideWhenUsed/>
    <w:rsid w:val="00037553"/>
    <w:rPr>
      <w:vertAlign w:val="superscript"/>
    </w:rPr>
  </w:style>
  <w:style w:type="paragraph" w:styleId="Aufzhlungszeichen">
    <w:name w:val="List Bullet"/>
    <w:basedOn w:val="Standard"/>
    <w:uiPriority w:val="99"/>
    <w:unhideWhenUsed/>
    <w:rsid w:val="00755DAA"/>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85094">
      <w:bodyDiv w:val="1"/>
      <w:marLeft w:val="0"/>
      <w:marRight w:val="0"/>
      <w:marTop w:val="0"/>
      <w:marBottom w:val="0"/>
      <w:divBdr>
        <w:top w:val="none" w:sz="0" w:space="0" w:color="auto"/>
        <w:left w:val="none" w:sz="0" w:space="0" w:color="auto"/>
        <w:bottom w:val="none" w:sz="0" w:space="0" w:color="auto"/>
        <w:right w:val="none" w:sz="0" w:space="0" w:color="auto"/>
      </w:divBdr>
    </w:div>
    <w:div w:id="21375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en/documents/leaflet/responsible-use-antibiotics-protects-animals-people-2011-2017-sales-antibiotics-veterinary-use-are_en.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o.org/news/story/en/item/197623/ico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ao.org/faostat/en/" TargetMode="External"/><Relationship Id="rId14" Type="http://schemas.openxmlformats.org/officeDocument/2006/relationships/hyperlink" Target="http://www.bft-online.d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ema.europa.eu/en/documents/leaflet/responsible-use-antibiotics-protects-animals-people-2011-2017-sales-antibiotics-veterinary-use-are_en.pdf" TargetMode="External"/><Relationship Id="rId2" Type="http://schemas.openxmlformats.org/officeDocument/2006/relationships/hyperlink" Target="http://www.fao.org/news/story/en/item/197623/icode/" TargetMode="External"/><Relationship Id="rId1" Type="http://schemas.openxmlformats.org/officeDocument/2006/relationships/hyperlink" Target="http://www.fao.org/faostat/en/" TargetMode="External"/><Relationship Id="rId4" Type="http://schemas.openxmlformats.org/officeDocument/2006/relationships/hyperlink" Target="https://www.oie.int/fileadmin/Home/eng/Media_Center/docs/pdf/Key_Documents/ANIMAL-HEALTH-EN-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2C30-6DC6-429D-BC53-3FE8FD87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2092</Words>
  <Characters>15863</Characters>
  <Application>Microsoft Office Word</Application>
  <DocSecurity>0</DocSecurity>
  <Lines>244</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Berndgen</dc:creator>
  <cp:lastModifiedBy>Tatjana Hense</cp:lastModifiedBy>
  <cp:revision>4</cp:revision>
  <cp:lastPrinted>2019-07-02T15:21:00Z</cp:lastPrinted>
  <dcterms:created xsi:type="dcterms:W3CDTF">2020-05-20T08:05:00Z</dcterms:created>
  <dcterms:modified xsi:type="dcterms:W3CDTF">2020-05-20T09:07:00Z</dcterms:modified>
</cp:coreProperties>
</file>