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A072" w14:textId="701D31B9" w:rsidR="00522148" w:rsidRPr="00522148" w:rsidRDefault="00522148" w:rsidP="00522148">
      <w:pPr>
        <w:pStyle w:val="berschrift1"/>
        <w:spacing w:line="276" w:lineRule="auto"/>
        <w:rPr>
          <w:rFonts w:ascii="HelveticaNeueLT Pro 55 Roman" w:hAnsi="HelveticaNeueLT Pro 55 Roman"/>
          <w:sz w:val="28"/>
          <w:szCs w:val="28"/>
        </w:rPr>
      </w:pPr>
      <w:bookmarkStart w:id="0" w:name="_Hlk61948607"/>
      <w:bookmarkStart w:id="1" w:name="_Hlk56585460"/>
      <w:r w:rsidRPr="00522148">
        <w:rPr>
          <w:rFonts w:ascii="HelveticaNeueLT Pro 55 Roman" w:hAnsi="HelveticaNeueLT Pro 55 Roman"/>
          <w:sz w:val="28"/>
          <w:szCs w:val="28"/>
        </w:rPr>
        <w:t>BfT-Broschüre informiert über Zulassungsanforderungen und -verfahren für Tierarzneimittel</w:t>
      </w:r>
    </w:p>
    <w:p w14:paraId="586B29ED" w14:textId="77777777" w:rsidR="00522148" w:rsidRPr="00A337E1" w:rsidRDefault="00522148" w:rsidP="00522148">
      <w:pPr>
        <w:rPr>
          <w:rFonts w:ascii="HelveticaNeueLT Pro 55 Roman" w:hAnsi="HelveticaNeueLT Pro 55 Roman"/>
        </w:rPr>
      </w:pPr>
    </w:p>
    <w:p w14:paraId="2234543F" w14:textId="4B3A0CFB" w:rsidR="00522148" w:rsidRPr="00A337E1" w:rsidRDefault="00522148" w:rsidP="00522148">
      <w:pPr>
        <w:spacing w:line="360" w:lineRule="auto"/>
        <w:rPr>
          <w:rFonts w:ascii="HelveticaNeueLT Pro 55 Roman" w:hAnsi="HelveticaNeueLT Pro 55 Roman"/>
          <w:i/>
        </w:rPr>
      </w:pPr>
      <w:r w:rsidRPr="00A337E1">
        <w:rPr>
          <w:rFonts w:ascii="HelveticaNeueLT Pro 55 Roman" w:hAnsi="HelveticaNeueLT Pro 55 Roman"/>
          <w:i/>
        </w:rPr>
        <w:t xml:space="preserve">Noch genau </w:t>
      </w:r>
      <w:r w:rsidR="00DE54EE" w:rsidRPr="00A337E1">
        <w:rPr>
          <w:rFonts w:ascii="HelveticaNeueLT Pro 55 Roman" w:hAnsi="HelveticaNeueLT Pro 55 Roman"/>
          <w:i/>
        </w:rPr>
        <w:t>ein</w:t>
      </w:r>
      <w:r w:rsidRPr="00A337E1">
        <w:rPr>
          <w:rFonts w:ascii="HelveticaNeueLT Pro 55 Roman" w:hAnsi="HelveticaNeueLT Pro 55 Roman"/>
          <w:i/>
        </w:rPr>
        <w:t xml:space="preserve"> Jahr ist es hin, bis die Vorgaben der neuen europäischen Tierarzneimittelverordnung Anwendung finden werden.</w:t>
      </w:r>
      <w:r w:rsidR="00EC0627" w:rsidRPr="00A337E1">
        <w:rPr>
          <w:rFonts w:ascii="HelveticaNeueLT Pro 55 Roman" w:hAnsi="HelveticaNeueLT Pro 55 Roman"/>
          <w:i/>
        </w:rPr>
        <w:t xml:space="preserve"> Zwei erste Nachfolgerechtsakte sind </w:t>
      </w:r>
      <w:r w:rsidR="00534308" w:rsidRPr="00A337E1">
        <w:rPr>
          <w:rFonts w:ascii="HelveticaNeueLT Pro 55 Roman" w:hAnsi="HelveticaNeueLT Pro 55 Roman"/>
          <w:i/>
        </w:rPr>
        <w:t>bereits</w:t>
      </w:r>
      <w:r w:rsidR="00EC0627" w:rsidRPr="00A337E1">
        <w:rPr>
          <w:rFonts w:ascii="HelveticaNeueLT Pro 55 Roman" w:hAnsi="HelveticaNeueLT Pro 55 Roman"/>
          <w:i/>
        </w:rPr>
        <w:t xml:space="preserve"> </w:t>
      </w:r>
      <w:r w:rsidR="00534308" w:rsidRPr="00A337E1">
        <w:rPr>
          <w:rFonts w:ascii="HelveticaNeueLT Pro 55 Roman" w:hAnsi="HelveticaNeueLT Pro 55 Roman"/>
          <w:i/>
        </w:rPr>
        <w:t xml:space="preserve">Anfang Januar </w:t>
      </w:r>
      <w:r w:rsidR="00C8497E" w:rsidRPr="00A337E1">
        <w:rPr>
          <w:rFonts w:ascii="HelveticaNeueLT Pro 55 Roman" w:hAnsi="HelveticaNeueLT Pro 55 Roman"/>
          <w:i/>
        </w:rPr>
        <w:t>publiziert worden.</w:t>
      </w:r>
      <w:r w:rsidR="00EC0627" w:rsidRPr="00A337E1">
        <w:rPr>
          <w:rFonts w:ascii="HelveticaNeueLT Pro 55 Roman" w:hAnsi="HelveticaNeueLT Pro 55 Roman"/>
          <w:i/>
        </w:rPr>
        <w:t xml:space="preserve"> </w:t>
      </w:r>
      <w:r w:rsidR="007E656C" w:rsidRPr="00A337E1">
        <w:rPr>
          <w:rFonts w:ascii="HelveticaNeueLT Pro 55 Roman" w:hAnsi="HelveticaNeueLT Pro 55 Roman"/>
          <w:i/>
        </w:rPr>
        <w:t xml:space="preserve">Einen Überblick über </w:t>
      </w:r>
      <w:r w:rsidR="00534308" w:rsidRPr="00A337E1">
        <w:rPr>
          <w:rFonts w:ascii="HelveticaNeueLT Pro 55 Roman" w:hAnsi="HelveticaNeueLT Pro 55 Roman"/>
          <w:i/>
        </w:rPr>
        <w:t>die Zulassung</w:t>
      </w:r>
      <w:r w:rsidR="007E656C" w:rsidRPr="00A337E1">
        <w:rPr>
          <w:rFonts w:ascii="HelveticaNeueLT Pro 55 Roman" w:hAnsi="HelveticaNeueLT Pro 55 Roman"/>
          <w:i/>
        </w:rPr>
        <w:t xml:space="preserve"> für Tierarzneimittel gibt nun eine aktuelle BfT-Broschüre. </w:t>
      </w:r>
    </w:p>
    <w:p w14:paraId="4C90C4FC" w14:textId="77777777" w:rsidR="00522148" w:rsidRDefault="00522148" w:rsidP="00522148">
      <w:pPr>
        <w:rPr>
          <w:rFonts w:ascii="HelveticaNeueLT Pro 55 Roman" w:hAnsi="HelveticaNeueLT Pro 55 Roman"/>
        </w:rPr>
      </w:pPr>
    </w:p>
    <w:p w14:paraId="68E1D80D" w14:textId="5D9A5DFE" w:rsidR="00522148" w:rsidRPr="00A337E1" w:rsidRDefault="00B8461F" w:rsidP="00522148">
      <w:pPr>
        <w:spacing w:line="360" w:lineRule="auto"/>
        <w:rPr>
          <w:rFonts w:ascii="HelveticaNeueLT Pro 55 Roman" w:hAnsi="HelveticaNeueLT Pro 55 Roman" w:cs="Arial"/>
        </w:rPr>
      </w:pPr>
      <w:r w:rsidRPr="00A337E1">
        <w:rPr>
          <w:rFonts w:ascii="HelveticaNeueLT Pro 55 Roman" w:hAnsi="HelveticaNeueLT Pro 55 Roman" w:cs="Arial"/>
        </w:rPr>
        <w:t xml:space="preserve">Ab dem 28. Januar 2022 </w:t>
      </w:r>
      <w:r w:rsidR="00C8497E" w:rsidRPr="00A337E1">
        <w:rPr>
          <w:rFonts w:ascii="HelveticaNeueLT Pro 55 Roman" w:hAnsi="HelveticaNeueLT Pro 55 Roman" w:cs="Arial"/>
        </w:rPr>
        <w:t>finden die Vorgab</w:t>
      </w:r>
      <w:r w:rsidR="00C8497E" w:rsidRPr="00A337E1">
        <w:rPr>
          <w:rFonts w:ascii="HelveticaNeueLT Pro 55 Roman" w:hAnsi="HelveticaNeueLT Pro 55 Roman"/>
          <w:iCs/>
        </w:rPr>
        <w:t>en der neuen europäischen Tierarzneimittelverordnung Anwendung.</w:t>
      </w:r>
      <w:r w:rsidRPr="00A337E1">
        <w:rPr>
          <w:rFonts w:ascii="HelveticaNeueLT Pro 55 Roman" w:hAnsi="HelveticaNeueLT Pro 55 Roman"/>
          <w:iCs/>
        </w:rPr>
        <w:t xml:space="preserve"> </w:t>
      </w:r>
      <w:r w:rsidRPr="00A337E1">
        <w:rPr>
          <w:rFonts w:ascii="HelveticaNeueLT Pro 55 Roman" w:hAnsi="HelveticaNeueLT Pro 55 Roman" w:cs="Arial"/>
        </w:rPr>
        <w:t>Für Industrie und Behörden wird damit der Rahmen für die nächsten Jahrzehnte gesteckt.</w:t>
      </w:r>
      <w:r w:rsidR="009849C2" w:rsidRPr="00A337E1">
        <w:rPr>
          <w:rFonts w:ascii="HelveticaNeueLT Pro 55 Roman" w:hAnsi="HelveticaNeueLT Pro 55 Roman"/>
          <w:iCs/>
        </w:rPr>
        <w:t xml:space="preserve"> </w:t>
      </w:r>
      <w:r w:rsidR="00522148" w:rsidRPr="00A337E1">
        <w:rPr>
          <w:rFonts w:ascii="HelveticaNeueLT Pro 55 Roman" w:hAnsi="HelveticaNeueLT Pro 55 Roman"/>
          <w:iCs/>
        </w:rPr>
        <w:t xml:space="preserve">Der Bundesverband für Tiergesundheit informiert daher in einer Broschüre über die Anforderungen und Zulassungsverfahren für Hersteller von Tierarzneimitteln, um eine Genehmigung für das </w:t>
      </w:r>
      <w:r w:rsidR="00522148" w:rsidRPr="00A337E1">
        <w:rPr>
          <w:rFonts w:ascii="HelveticaNeueLT Pro 55 Roman" w:hAnsi="HelveticaNeueLT Pro 55 Roman" w:cs="Arial"/>
        </w:rPr>
        <w:t>Inverkehrbringen</w:t>
      </w:r>
      <w:r w:rsidR="00522148" w:rsidRPr="00A337E1">
        <w:rPr>
          <w:rFonts w:ascii="HelveticaNeueLT Pro 55 Roman" w:hAnsi="HelveticaNeueLT Pro 55 Roman"/>
          <w:iCs/>
        </w:rPr>
        <w:t xml:space="preserve"> von Produkten auf dem europäischen Markt beantragen </w:t>
      </w:r>
      <w:r w:rsidR="00556047">
        <w:rPr>
          <w:rFonts w:ascii="HelveticaNeueLT Pro 55 Roman" w:hAnsi="HelveticaNeueLT Pro 55 Roman"/>
          <w:iCs/>
        </w:rPr>
        <w:t xml:space="preserve">zu </w:t>
      </w:r>
      <w:r w:rsidR="00522148" w:rsidRPr="00A337E1">
        <w:rPr>
          <w:rFonts w:ascii="HelveticaNeueLT Pro 55 Roman" w:hAnsi="HelveticaNeueLT Pro 55 Roman"/>
          <w:iCs/>
        </w:rPr>
        <w:t>können.</w:t>
      </w:r>
    </w:p>
    <w:p w14:paraId="3B2A6921" w14:textId="77777777" w:rsidR="00522148" w:rsidRPr="00A337E1" w:rsidRDefault="00522148" w:rsidP="00522148">
      <w:pPr>
        <w:spacing w:line="360" w:lineRule="auto"/>
        <w:rPr>
          <w:rFonts w:ascii="HelveticaNeueLT Pro 55 Roman" w:hAnsi="HelveticaNeueLT Pro 55 Roman"/>
          <w:iCs/>
        </w:rPr>
      </w:pPr>
    </w:p>
    <w:p w14:paraId="650FDADF" w14:textId="7780AAD0" w:rsidR="00522148" w:rsidRPr="00A337E1" w:rsidRDefault="00522148" w:rsidP="00522148">
      <w:pPr>
        <w:spacing w:line="360" w:lineRule="auto"/>
        <w:rPr>
          <w:rFonts w:ascii="HelveticaNeueLT Pro 55 Roman" w:hAnsi="HelveticaNeueLT Pro 55 Roman"/>
          <w:iCs/>
        </w:rPr>
      </w:pPr>
      <w:r w:rsidRPr="00A337E1">
        <w:rPr>
          <w:rFonts w:ascii="HelveticaNeueLT Pro 55 Roman" w:hAnsi="HelveticaNeueLT Pro 55 Roman"/>
          <w:iCs/>
        </w:rPr>
        <w:t>Mit der neuen europäischen Tierarzneimittelverordnung wurden die Vorgaben zur Zulassung und Anwendung von Tierarzneimitteln harmonisiert, um einen einheitlichen</w:t>
      </w:r>
      <w:r w:rsidR="00961E45" w:rsidRPr="00961E45">
        <w:t xml:space="preserve"> </w:t>
      </w:r>
      <w:r w:rsidR="00961E45" w:rsidRPr="00961E45">
        <w:rPr>
          <w:rFonts w:ascii="HelveticaNeueLT Pro 55 Roman" w:hAnsi="HelveticaNeueLT Pro 55 Roman"/>
          <w:iCs/>
        </w:rPr>
        <w:t>Binnenmarkt mit EU weit gleichen, für Tierarzneimittel spezifischen</w:t>
      </w:r>
      <w:r w:rsidRPr="00A337E1">
        <w:rPr>
          <w:rFonts w:ascii="HelveticaNeueLT Pro 55 Roman" w:hAnsi="HelveticaNeueLT Pro 55 Roman"/>
          <w:iCs/>
        </w:rPr>
        <w:t xml:space="preserve"> Bedingungen zu schaffen. Ziel der Überarbeitung war außerdem, durch neue Anreize die Wettbewerbsfähigkeit zu verbessern sowie Innovation zu stimulieren und unnötige, bürokratische Hürden abzubauen. Anforderungen, insbesondere zu antimikrobiellen Mitteln, wurden strikter gefasst. </w:t>
      </w:r>
    </w:p>
    <w:p w14:paraId="2C4C8C95" w14:textId="77777777" w:rsidR="00522148" w:rsidRPr="00A337E1" w:rsidRDefault="00522148" w:rsidP="00522148">
      <w:pPr>
        <w:spacing w:line="360" w:lineRule="auto"/>
        <w:rPr>
          <w:rFonts w:ascii="HelveticaNeueLT Pro 55 Roman" w:hAnsi="HelveticaNeueLT Pro 55 Roman"/>
          <w:iCs/>
        </w:rPr>
      </w:pPr>
    </w:p>
    <w:p w14:paraId="3CDAAE38" w14:textId="590F8C9C" w:rsidR="007E656C" w:rsidRPr="00A337E1" w:rsidRDefault="00522148" w:rsidP="007E656C">
      <w:pPr>
        <w:spacing w:line="360" w:lineRule="auto"/>
        <w:rPr>
          <w:rFonts w:ascii="HelveticaNeueLT Pro 55 Roman" w:hAnsi="HelveticaNeueLT Pro 55 Roman"/>
          <w:iCs/>
        </w:rPr>
      </w:pPr>
      <w:r w:rsidRPr="00A337E1">
        <w:rPr>
          <w:rFonts w:ascii="HelveticaNeueLT Pro 55 Roman" w:hAnsi="HelveticaNeueLT Pro 55 Roman"/>
          <w:iCs/>
        </w:rPr>
        <w:t>Im Januar 2019 trat die neue Verordnung mit den Vorgaben für Inverkehrbringen, Herstellung, Ein- und Ausfuhr, Abgabe, Vertrieb, Überwachung und Verwendung von Tierarzneimitteln in Kraft. Derzeit wird noch mit Hochdruck an nachgeordneten Rechtsakten gearbeitet, mit denen weitere Details der neuen Regelungen ausgestaltet werden.</w:t>
      </w:r>
      <w:r w:rsidR="007E656C" w:rsidRPr="00A337E1">
        <w:rPr>
          <w:rFonts w:ascii="HelveticaNeueLT Pro 55 Roman" w:hAnsi="HelveticaNeueLT Pro 55 Roman"/>
          <w:iCs/>
        </w:rPr>
        <w:t xml:space="preserve"> </w:t>
      </w:r>
      <w:r w:rsidR="007E656C" w:rsidRPr="00A337E1">
        <w:rPr>
          <w:rFonts w:ascii="HelveticaNeueLT Pro 55 Roman" w:hAnsi="HelveticaNeueLT Pro 55 Roman" w:cs="Arial"/>
        </w:rPr>
        <w:t>Für mehr als 20 Themenkomplexe sollen in sogenannten Durchführungsverordnungen und delegierten Rechtsakten der EU Details weiter ausgestaltet werden. Zudem sind drei neue Datenbanken vorgesehen.</w:t>
      </w:r>
      <w:r w:rsidR="007E656C" w:rsidRPr="00A337E1">
        <w:rPr>
          <w:rFonts w:ascii="HelveticaNeueLT Pro 55 Roman" w:hAnsi="HelveticaNeueLT Pro 55 Roman" w:cs="Arial"/>
          <w:sz w:val="22"/>
          <w:szCs w:val="22"/>
        </w:rPr>
        <w:t xml:space="preserve"> </w:t>
      </w:r>
    </w:p>
    <w:p w14:paraId="419855A2" w14:textId="0C1A0C42" w:rsidR="009849C2" w:rsidRDefault="009849C2" w:rsidP="00522148">
      <w:pPr>
        <w:spacing w:line="360" w:lineRule="auto"/>
        <w:rPr>
          <w:iCs/>
        </w:rPr>
      </w:pPr>
    </w:p>
    <w:p w14:paraId="14B08C7C" w14:textId="7520CE34" w:rsidR="007E656C" w:rsidRPr="00A337E1" w:rsidRDefault="009849C2" w:rsidP="009849C2">
      <w:pPr>
        <w:spacing w:line="360" w:lineRule="auto"/>
        <w:rPr>
          <w:rFonts w:ascii="HelveticaNeueLT Pro 55 Roman" w:hAnsi="HelveticaNeueLT Pro 55 Roman"/>
        </w:rPr>
      </w:pPr>
      <w:r w:rsidRPr="009849C2">
        <w:rPr>
          <w:rFonts w:ascii="HelveticaNeueLT Pro 55 Roman" w:hAnsi="HelveticaNeueLT Pro 55 Roman"/>
        </w:rPr>
        <w:lastRenderedPageBreak/>
        <w:t xml:space="preserve">Am 8. Januar 2021 </w:t>
      </w:r>
      <w:r w:rsidR="00A337E1">
        <w:rPr>
          <w:rFonts w:ascii="HelveticaNeueLT Pro 55 Roman" w:hAnsi="HelveticaNeueLT Pro 55 Roman"/>
        </w:rPr>
        <w:t>sind bereits</w:t>
      </w:r>
      <w:r w:rsidRPr="009849C2">
        <w:rPr>
          <w:rFonts w:ascii="HelveticaNeueLT Pro 55 Roman" w:hAnsi="HelveticaNeueLT Pro 55 Roman"/>
        </w:rPr>
        <w:t xml:space="preserve"> die beiden ersten </w:t>
      </w:r>
      <w:r w:rsidRPr="007E656C">
        <w:rPr>
          <w:rFonts w:ascii="HelveticaNeueLT Pro 55 Roman" w:hAnsi="HelveticaNeueLT Pro 55 Roman"/>
        </w:rPr>
        <w:t>Nachfolgerechtsakte</w:t>
      </w:r>
      <w:r w:rsidR="00B8461F" w:rsidRPr="007E656C">
        <w:rPr>
          <w:rFonts w:ascii="HelveticaNeueLT Pro 55 Roman" w:hAnsi="HelveticaNeueLT Pro 55 Roman"/>
        </w:rPr>
        <w:t xml:space="preserve"> zur Basisverordnung (EU) 2019/6 </w:t>
      </w:r>
      <w:r w:rsidRPr="007E656C">
        <w:rPr>
          <w:rFonts w:ascii="HelveticaNeueLT Pro 55 Roman" w:hAnsi="HelveticaNeueLT Pro 55 Roman"/>
        </w:rPr>
        <w:t xml:space="preserve"> </w:t>
      </w:r>
      <w:r w:rsidR="00B8461F" w:rsidRPr="007E656C">
        <w:rPr>
          <w:rFonts w:ascii="HelveticaNeueLT Pro 55 Roman" w:hAnsi="HelveticaNeueLT Pro 55 Roman"/>
        </w:rPr>
        <w:t>publ</w:t>
      </w:r>
      <w:r w:rsidR="00B8461F" w:rsidRPr="00B8461F">
        <w:rPr>
          <w:rFonts w:ascii="HelveticaNeueLT Pro 55 Roman" w:hAnsi="HelveticaNeueLT Pro 55 Roman"/>
        </w:rPr>
        <w:t>iziert</w:t>
      </w:r>
      <w:r w:rsidR="00A337E1">
        <w:rPr>
          <w:rFonts w:ascii="HelveticaNeueLT Pro 55 Roman" w:hAnsi="HelveticaNeueLT Pro 55 Roman"/>
        </w:rPr>
        <w:t xml:space="preserve"> worden</w:t>
      </w:r>
      <w:r w:rsidR="00B8461F">
        <w:rPr>
          <w:rFonts w:ascii="HelveticaNeueLT Pro 55 Roman" w:hAnsi="HelveticaNeueLT Pro 55 Roman"/>
        </w:rPr>
        <w:t xml:space="preserve">: Die </w:t>
      </w:r>
      <w:r w:rsidRPr="009849C2">
        <w:rPr>
          <w:rFonts w:ascii="HelveticaNeueLT Pro 55 Roman" w:hAnsi="HelveticaNeueLT Pro 55 Roman"/>
        </w:rPr>
        <w:t>„</w:t>
      </w:r>
      <w:hyperlink r:id="rId7" w:history="1">
        <w:r w:rsidRPr="009849C2">
          <w:rPr>
            <w:rStyle w:val="Hyperlink"/>
            <w:rFonts w:ascii="HelveticaNeueLT Pro 55 Roman" w:hAnsi="HelveticaNeueLT Pro 55 Roman"/>
          </w:rPr>
          <w:t>Durchführungsverordnung (EU) 2021/16</w:t>
        </w:r>
      </w:hyperlink>
      <w:r w:rsidRPr="009849C2">
        <w:rPr>
          <w:rFonts w:ascii="HelveticaNeueLT Pro 55 Roman" w:hAnsi="HelveticaNeueLT Pro 55 Roman"/>
        </w:rPr>
        <w:t xml:space="preserve">“ zur Festlegung der erforderlichen Maßnahmen und praktischen Modalitäten für die Datenbank der Union für Tierarzneimittel </w:t>
      </w:r>
      <w:r>
        <w:rPr>
          <w:rFonts w:ascii="HelveticaNeueLT Pro 55 Roman" w:hAnsi="HelveticaNeueLT Pro 55 Roman"/>
        </w:rPr>
        <w:t>sowie die „</w:t>
      </w:r>
      <w:hyperlink r:id="rId8" w:history="1">
        <w:r w:rsidRPr="009849C2">
          <w:rPr>
            <w:rStyle w:val="Hyperlink"/>
            <w:rFonts w:ascii="HelveticaNeueLT Pro 55 Roman" w:hAnsi="HelveticaNeueLT Pro 55 Roman"/>
          </w:rPr>
          <w:t>Durchführungsverordnung (EU) 2021/17</w:t>
        </w:r>
      </w:hyperlink>
      <w:r w:rsidRPr="009849C2">
        <w:rPr>
          <w:rFonts w:ascii="HelveticaNeueLT Pro 55 Roman" w:hAnsi="HelveticaNeueLT Pro 55 Roman"/>
        </w:rPr>
        <w:t xml:space="preserve">“ </w:t>
      </w:r>
      <w:r w:rsidR="00B8461F" w:rsidRPr="00B8461F">
        <w:rPr>
          <w:rFonts w:ascii="HelveticaNeueLT Pro 55 Roman" w:hAnsi="HelveticaNeueLT Pro 55 Roman"/>
        </w:rPr>
        <w:t xml:space="preserve">zur Erstellung einer Liste der Änderungen, die keine Bewertung erfordern, gemäß der Verordnung (EU) 2019/6 des </w:t>
      </w:r>
      <w:r w:rsidR="00B8461F" w:rsidRPr="00A337E1">
        <w:rPr>
          <w:rFonts w:ascii="HelveticaNeueLT Pro 55 Roman" w:hAnsi="HelveticaNeueLT Pro 55 Roman"/>
        </w:rPr>
        <w:t>Europäischen Parlaments und des Rates.</w:t>
      </w:r>
    </w:p>
    <w:p w14:paraId="6C06C454" w14:textId="77777777" w:rsidR="00522148" w:rsidRPr="00A337E1" w:rsidRDefault="00522148" w:rsidP="00522148">
      <w:pPr>
        <w:spacing w:line="360" w:lineRule="auto"/>
        <w:rPr>
          <w:rFonts w:ascii="HelveticaNeueLT Pro 55 Roman" w:hAnsi="HelveticaNeueLT Pro 55 Roman"/>
          <w:iCs/>
        </w:rPr>
      </w:pPr>
    </w:p>
    <w:p w14:paraId="5AA6B8A9" w14:textId="645BFF8F" w:rsidR="00522148" w:rsidRPr="00A337E1" w:rsidRDefault="00522148" w:rsidP="00522148">
      <w:pPr>
        <w:spacing w:line="360" w:lineRule="auto"/>
        <w:rPr>
          <w:rFonts w:ascii="HelveticaNeueLT Pro 55 Roman" w:hAnsi="HelveticaNeueLT Pro 55 Roman"/>
          <w:iCs/>
        </w:rPr>
      </w:pPr>
      <w:r w:rsidRPr="00A337E1">
        <w:rPr>
          <w:rFonts w:ascii="HelveticaNeueLT Pro 55 Roman" w:hAnsi="HelveticaNeueLT Pro 55 Roman"/>
          <w:iCs/>
        </w:rPr>
        <w:t xml:space="preserve">Die Broschüre steht in deutscher und englischer Sprache </w:t>
      </w:r>
      <w:hyperlink r:id="rId9" w:history="1">
        <w:r w:rsidRPr="00581FA3">
          <w:rPr>
            <w:rStyle w:val="Hyperlink"/>
            <w:rFonts w:ascii="HelveticaNeueLT Pro 55 Roman" w:hAnsi="HelveticaNeueLT Pro 55 Roman"/>
            <w:iCs/>
          </w:rPr>
          <w:t>zum Download</w:t>
        </w:r>
      </w:hyperlink>
      <w:r w:rsidRPr="00A337E1">
        <w:rPr>
          <w:rFonts w:ascii="HelveticaNeueLT Pro 55 Roman" w:hAnsi="HelveticaNeueLT Pro 55 Roman"/>
          <w:iCs/>
        </w:rPr>
        <w:t xml:space="preserve"> auf der Webseite des Verbandes bereit.</w:t>
      </w:r>
    </w:p>
    <w:p w14:paraId="535C9E7C" w14:textId="2338DFAD" w:rsidR="00E45348" w:rsidRDefault="00E45348" w:rsidP="00522148">
      <w:pPr>
        <w:spacing w:line="360" w:lineRule="auto"/>
        <w:rPr>
          <w:iCs/>
        </w:rPr>
      </w:pPr>
    </w:p>
    <w:bookmarkEnd w:id="0"/>
    <w:p w14:paraId="10E3D777" w14:textId="77777777" w:rsidR="00994E28" w:rsidRPr="00522148" w:rsidRDefault="00994E28" w:rsidP="00994E28">
      <w:pPr>
        <w:spacing w:line="360" w:lineRule="auto"/>
        <w:rPr>
          <w:i/>
        </w:rPr>
      </w:pPr>
    </w:p>
    <w:bookmarkEnd w:id="1"/>
    <w:p w14:paraId="329544BF" w14:textId="760E43AE"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r w:rsidR="00F35A26">
        <w:rPr>
          <w:rFonts w:ascii="HelveticaNeueLT Pro 55 Roman" w:hAnsi="HelveticaNeueLT Pro 55 Roman" w:cs="Arial"/>
          <w:sz w:val="22"/>
          <w:szCs w:val="22"/>
        </w:rPr>
        <w:t xml:space="preserve"> </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10"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169D49DE" w:rsidR="00D12B06" w:rsidRPr="00B30679" w:rsidRDefault="00B30679"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308</w:t>
      </w:r>
      <w:r w:rsidR="00CC2272" w:rsidRPr="00B30679">
        <w:rPr>
          <w:rFonts w:ascii="HelveticaNeueLT Pro 55 Roman" w:hAnsi="HelveticaNeueLT Pro 55 Roman" w:cs="Arial"/>
          <w:sz w:val="22"/>
          <w:szCs w:val="22"/>
        </w:rPr>
        <w:t xml:space="preserve"> </w:t>
      </w:r>
      <w:r w:rsidR="00D12B06" w:rsidRPr="00B30679">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2.482</w:t>
      </w:r>
      <w:r w:rsidR="004751BA" w:rsidRPr="00B30679">
        <w:rPr>
          <w:rFonts w:ascii="HelveticaNeueLT Pro 55 Roman" w:hAnsi="HelveticaNeueLT Pro 55 Roman" w:cs="Arial"/>
          <w:sz w:val="22"/>
          <w:szCs w:val="22"/>
        </w:rPr>
        <w:t xml:space="preserve"> </w:t>
      </w:r>
      <w:r w:rsidR="00D12B06" w:rsidRPr="00B30679">
        <w:rPr>
          <w:rFonts w:ascii="HelveticaNeueLT Pro 55 Roman" w:hAnsi="HelveticaNeueLT Pro 55 Roman" w:cs="Arial"/>
          <w:sz w:val="22"/>
          <w:szCs w:val="22"/>
        </w:rPr>
        <w:t xml:space="preserve">Zeichen </w:t>
      </w:r>
    </w:p>
    <w:p w14:paraId="7C9902E1" w14:textId="28EF243E" w:rsidR="00E420C1" w:rsidRPr="00126AFC" w:rsidRDefault="00822F69" w:rsidP="00236EA2">
      <w:pPr>
        <w:spacing w:line="360" w:lineRule="auto"/>
        <w:rPr>
          <w:rStyle w:val="Fett"/>
          <w:rFonts w:ascii="HelveticaNeueLT Pro 55 Roman" w:hAnsi="HelveticaNeueLT Pro 55 Roman"/>
          <w:b w:val="0"/>
          <w:bCs w:val="0"/>
          <w:sz w:val="22"/>
          <w:szCs w:val="22"/>
        </w:rPr>
      </w:pPr>
      <w:r w:rsidRPr="00B30679">
        <w:rPr>
          <w:rFonts w:ascii="HelveticaNeueLT Pro 55 Roman" w:hAnsi="HelveticaNeueLT Pro 55 Roman" w:cs="Arial"/>
          <w:sz w:val="22"/>
          <w:szCs w:val="22"/>
        </w:rPr>
        <w:t xml:space="preserve">Stand </w:t>
      </w:r>
      <w:r w:rsidR="00522148" w:rsidRPr="00B30679">
        <w:rPr>
          <w:rFonts w:ascii="HelveticaNeueLT Pro 55 Roman" w:hAnsi="HelveticaNeueLT Pro 55 Roman" w:cs="Arial"/>
          <w:sz w:val="22"/>
          <w:szCs w:val="22"/>
        </w:rPr>
        <w:t>2</w:t>
      </w:r>
      <w:r w:rsidR="00B30679" w:rsidRPr="00B30679">
        <w:rPr>
          <w:rFonts w:ascii="HelveticaNeueLT Pro 55 Roman" w:hAnsi="HelveticaNeueLT Pro 55 Roman" w:cs="Arial"/>
          <w:sz w:val="22"/>
          <w:szCs w:val="22"/>
        </w:rPr>
        <w:t>0</w:t>
      </w:r>
      <w:r w:rsidR="006013AF" w:rsidRPr="00B30679">
        <w:rPr>
          <w:rFonts w:ascii="HelveticaNeueLT Pro 55 Roman" w:hAnsi="HelveticaNeueLT Pro 55 Roman" w:cs="Arial"/>
          <w:sz w:val="22"/>
          <w:szCs w:val="22"/>
        </w:rPr>
        <w:t>.</w:t>
      </w:r>
      <w:r w:rsidR="00522148" w:rsidRPr="00B30679">
        <w:rPr>
          <w:rFonts w:ascii="HelveticaNeueLT Pro 55 Roman" w:hAnsi="HelveticaNeueLT Pro 55 Roman" w:cs="Arial"/>
          <w:sz w:val="22"/>
          <w:szCs w:val="22"/>
        </w:rPr>
        <w:t>01</w:t>
      </w:r>
      <w:r w:rsidR="00996958" w:rsidRPr="00B30679">
        <w:rPr>
          <w:rFonts w:ascii="HelveticaNeueLT Pro 55 Roman" w:hAnsi="HelveticaNeueLT Pro 55 Roman" w:cs="Arial"/>
          <w:sz w:val="22"/>
          <w:szCs w:val="22"/>
        </w:rPr>
        <w:t>.202</w:t>
      </w:r>
      <w:r w:rsidR="00522148" w:rsidRPr="00B30679">
        <w:rPr>
          <w:rFonts w:ascii="HelveticaNeueLT Pro 55 Roman" w:hAnsi="HelveticaNeueLT Pro 55 Roman" w:cs="Arial"/>
          <w:sz w:val="22"/>
          <w:szCs w:val="22"/>
        </w:rPr>
        <w:t>1</w:t>
      </w:r>
      <w:r w:rsidR="00B30679">
        <w:rPr>
          <w:rFonts w:ascii="HelveticaNeueLT Pro 55 Roman" w:hAnsi="HelveticaNeueLT Pro 55 Roman" w:cs="Arial"/>
          <w:sz w:val="22"/>
          <w:szCs w:val="22"/>
        </w:rPr>
        <w:t xml:space="preserve"> </w:t>
      </w:r>
    </w:p>
    <w:sectPr w:rsidR="00E420C1" w:rsidRPr="00126AFC"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EA08" w14:textId="77777777" w:rsidR="00183E57" w:rsidRDefault="00183E57" w:rsidP="002E7121">
      <w:r>
        <w:separator/>
      </w:r>
    </w:p>
  </w:endnote>
  <w:endnote w:type="continuationSeparator" w:id="0">
    <w:p w14:paraId="5DEC5EC8" w14:textId="77777777" w:rsidR="00183E57" w:rsidRDefault="00183E57"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5894" w14:textId="77777777" w:rsidR="00183E57" w:rsidRDefault="00183E57" w:rsidP="002E7121">
      <w:r>
        <w:separator/>
      </w:r>
    </w:p>
  </w:footnote>
  <w:footnote w:type="continuationSeparator" w:id="0">
    <w:p w14:paraId="1389F699" w14:textId="77777777" w:rsidR="00183E57" w:rsidRDefault="00183E57"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201CA"/>
    <w:multiLevelType w:val="hybridMultilevel"/>
    <w:tmpl w:val="9B326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829E6"/>
    <w:rsid w:val="00083C59"/>
    <w:rsid w:val="000B7F49"/>
    <w:rsid w:val="000C1F32"/>
    <w:rsid w:val="000C2CC0"/>
    <w:rsid w:val="000C772B"/>
    <w:rsid w:val="000D529B"/>
    <w:rsid w:val="000D733E"/>
    <w:rsid w:val="000E36E1"/>
    <w:rsid w:val="000F64C2"/>
    <w:rsid w:val="00126AFC"/>
    <w:rsid w:val="00144811"/>
    <w:rsid w:val="00156CFD"/>
    <w:rsid w:val="00171DD4"/>
    <w:rsid w:val="00182A78"/>
    <w:rsid w:val="00183E57"/>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2F04B8"/>
    <w:rsid w:val="00300A9A"/>
    <w:rsid w:val="0030556C"/>
    <w:rsid w:val="00364849"/>
    <w:rsid w:val="00372F57"/>
    <w:rsid w:val="00387C33"/>
    <w:rsid w:val="003C09E4"/>
    <w:rsid w:val="003D038D"/>
    <w:rsid w:val="003D689D"/>
    <w:rsid w:val="00403D18"/>
    <w:rsid w:val="004126B6"/>
    <w:rsid w:val="0042015C"/>
    <w:rsid w:val="0043566C"/>
    <w:rsid w:val="004435B8"/>
    <w:rsid w:val="00454BCF"/>
    <w:rsid w:val="004751BA"/>
    <w:rsid w:val="0048459B"/>
    <w:rsid w:val="004A4B54"/>
    <w:rsid w:val="004B1088"/>
    <w:rsid w:val="004B5AE9"/>
    <w:rsid w:val="004D1479"/>
    <w:rsid w:val="004D4441"/>
    <w:rsid w:val="004E2846"/>
    <w:rsid w:val="004F51AA"/>
    <w:rsid w:val="005065D9"/>
    <w:rsid w:val="00510249"/>
    <w:rsid w:val="00515E93"/>
    <w:rsid w:val="00522148"/>
    <w:rsid w:val="00534308"/>
    <w:rsid w:val="0054185D"/>
    <w:rsid w:val="00556047"/>
    <w:rsid w:val="00581F0F"/>
    <w:rsid w:val="00581FA3"/>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A763D"/>
    <w:rsid w:val="006B48B9"/>
    <w:rsid w:val="006C052B"/>
    <w:rsid w:val="006C1608"/>
    <w:rsid w:val="006C60A5"/>
    <w:rsid w:val="006E3551"/>
    <w:rsid w:val="006E5F62"/>
    <w:rsid w:val="006F32CF"/>
    <w:rsid w:val="00714F52"/>
    <w:rsid w:val="007152B3"/>
    <w:rsid w:val="00731247"/>
    <w:rsid w:val="00733A23"/>
    <w:rsid w:val="00740962"/>
    <w:rsid w:val="00745A9D"/>
    <w:rsid w:val="00750F3C"/>
    <w:rsid w:val="00753251"/>
    <w:rsid w:val="00770BD2"/>
    <w:rsid w:val="0078073F"/>
    <w:rsid w:val="00781BDD"/>
    <w:rsid w:val="007957F9"/>
    <w:rsid w:val="007E2D81"/>
    <w:rsid w:val="007E3831"/>
    <w:rsid w:val="007E656C"/>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473E3"/>
    <w:rsid w:val="00961E45"/>
    <w:rsid w:val="00970AE3"/>
    <w:rsid w:val="00974035"/>
    <w:rsid w:val="00981AF8"/>
    <w:rsid w:val="009849C2"/>
    <w:rsid w:val="00986D99"/>
    <w:rsid w:val="00994E28"/>
    <w:rsid w:val="00996958"/>
    <w:rsid w:val="009A2F94"/>
    <w:rsid w:val="009B0260"/>
    <w:rsid w:val="009B7E10"/>
    <w:rsid w:val="009C31E7"/>
    <w:rsid w:val="009E110B"/>
    <w:rsid w:val="009F653A"/>
    <w:rsid w:val="009F657C"/>
    <w:rsid w:val="00A24794"/>
    <w:rsid w:val="00A337E1"/>
    <w:rsid w:val="00A85A12"/>
    <w:rsid w:val="00AA2AE0"/>
    <w:rsid w:val="00AD56D4"/>
    <w:rsid w:val="00AD5C71"/>
    <w:rsid w:val="00AF23F8"/>
    <w:rsid w:val="00B1203D"/>
    <w:rsid w:val="00B27217"/>
    <w:rsid w:val="00B30679"/>
    <w:rsid w:val="00B33425"/>
    <w:rsid w:val="00B373E7"/>
    <w:rsid w:val="00B424B1"/>
    <w:rsid w:val="00B4602E"/>
    <w:rsid w:val="00B47F9D"/>
    <w:rsid w:val="00B502C2"/>
    <w:rsid w:val="00B54566"/>
    <w:rsid w:val="00B746F5"/>
    <w:rsid w:val="00B8461F"/>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97E"/>
    <w:rsid w:val="00C84A52"/>
    <w:rsid w:val="00C9156B"/>
    <w:rsid w:val="00CA0DC4"/>
    <w:rsid w:val="00CA4B46"/>
    <w:rsid w:val="00CC2272"/>
    <w:rsid w:val="00CD6478"/>
    <w:rsid w:val="00CD67ED"/>
    <w:rsid w:val="00CE3B14"/>
    <w:rsid w:val="00D0421F"/>
    <w:rsid w:val="00D054DA"/>
    <w:rsid w:val="00D12B06"/>
    <w:rsid w:val="00D20236"/>
    <w:rsid w:val="00D631D0"/>
    <w:rsid w:val="00D649A1"/>
    <w:rsid w:val="00D7026D"/>
    <w:rsid w:val="00D71A95"/>
    <w:rsid w:val="00D71F4C"/>
    <w:rsid w:val="00D94875"/>
    <w:rsid w:val="00DA0EE7"/>
    <w:rsid w:val="00DA100D"/>
    <w:rsid w:val="00DC76F5"/>
    <w:rsid w:val="00DD6403"/>
    <w:rsid w:val="00DE54EE"/>
    <w:rsid w:val="00E04634"/>
    <w:rsid w:val="00E12E78"/>
    <w:rsid w:val="00E315C1"/>
    <w:rsid w:val="00E3172D"/>
    <w:rsid w:val="00E40DB1"/>
    <w:rsid w:val="00E420C1"/>
    <w:rsid w:val="00E434EE"/>
    <w:rsid w:val="00E45348"/>
    <w:rsid w:val="00E50125"/>
    <w:rsid w:val="00E557ED"/>
    <w:rsid w:val="00E575D7"/>
    <w:rsid w:val="00E64046"/>
    <w:rsid w:val="00E6702C"/>
    <w:rsid w:val="00E67715"/>
    <w:rsid w:val="00E70432"/>
    <w:rsid w:val="00E76133"/>
    <w:rsid w:val="00E814AE"/>
    <w:rsid w:val="00E82DF6"/>
    <w:rsid w:val="00E90772"/>
    <w:rsid w:val="00E95B28"/>
    <w:rsid w:val="00EA0C5D"/>
    <w:rsid w:val="00EB304E"/>
    <w:rsid w:val="00EC0627"/>
    <w:rsid w:val="00EC57AA"/>
    <w:rsid w:val="00EF28BF"/>
    <w:rsid w:val="00F05D69"/>
    <w:rsid w:val="00F06201"/>
    <w:rsid w:val="00F35A26"/>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3D333824-9717-4964-B047-D5DFBB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9849C2"/>
    <w:rPr>
      <w:color w:val="605E5C"/>
      <w:shd w:val="clear" w:color="auto" w:fill="E1DFDD"/>
    </w:rPr>
  </w:style>
  <w:style w:type="character" w:styleId="BesuchterLink">
    <w:name w:val="FollowedHyperlink"/>
    <w:basedOn w:val="Absatz-Standardschriftart"/>
    <w:uiPriority w:val="99"/>
    <w:semiHidden/>
    <w:unhideWhenUsed/>
    <w:rsid w:val="00984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977">
      <w:bodyDiv w:val="1"/>
      <w:marLeft w:val="0"/>
      <w:marRight w:val="0"/>
      <w:marTop w:val="0"/>
      <w:marBottom w:val="0"/>
      <w:divBdr>
        <w:top w:val="none" w:sz="0" w:space="0" w:color="auto"/>
        <w:left w:val="none" w:sz="0" w:space="0" w:color="auto"/>
        <w:bottom w:val="none" w:sz="0" w:space="0" w:color="auto"/>
        <w:right w:val="none" w:sz="0" w:space="0" w:color="auto"/>
      </w:divBdr>
    </w:div>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100339076">
      <w:bodyDiv w:val="1"/>
      <w:marLeft w:val="0"/>
      <w:marRight w:val="0"/>
      <w:marTop w:val="0"/>
      <w:marBottom w:val="0"/>
      <w:divBdr>
        <w:top w:val="none" w:sz="0" w:space="0" w:color="auto"/>
        <w:left w:val="none" w:sz="0" w:space="0" w:color="auto"/>
        <w:bottom w:val="none" w:sz="0" w:space="0" w:color="auto"/>
        <w:right w:val="none" w:sz="0" w:space="0" w:color="auto"/>
      </w:divBdr>
    </w:div>
    <w:div w:id="127481248">
      <w:bodyDiv w:val="1"/>
      <w:marLeft w:val="0"/>
      <w:marRight w:val="0"/>
      <w:marTop w:val="0"/>
      <w:marBottom w:val="0"/>
      <w:divBdr>
        <w:top w:val="none" w:sz="0" w:space="0" w:color="auto"/>
        <w:left w:val="none" w:sz="0" w:space="0" w:color="auto"/>
        <w:bottom w:val="none" w:sz="0" w:space="0" w:color="auto"/>
        <w:right w:val="none" w:sz="0" w:space="0" w:color="auto"/>
      </w:divBdr>
    </w:div>
    <w:div w:id="210849520">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434716232">
      <w:bodyDiv w:val="1"/>
      <w:marLeft w:val="0"/>
      <w:marRight w:val="0"/>
      <w:marTop w:val="0"/>
      <w:marBottom w:val="0"/>
      <w:divBdr>
        <w:top w:val="none" w:sz="0" w:space="0" w:color="auto"/>
        <w:left w:val="none" w:sz="0" w:space="0" w:color="auto"/>
        <w:bottom w:val="none" w:sz="0" w:space="0" w:color="auto"/>
        <w:right w:val="none" w:sz="0" w:space="0" w:color="auto"/>
      </w:divBdr>
    </w:div>
    <w:div w:id="557786847">
      <w:bodyDiv w:val="1"/>
      <w:marLeft w:val="0"/>
      <w:marRight w:val="0"/>
      <w:marTop w:val="0"/>
      <w:marBottom w:val="0"/>
      <w:divBdr>
        <w:top w:val="none" w:sz="0" w:space="0" w:color="auto"/>
        <w:left w:val="none" w:sz="0" w:space="0" w:color="auto"/>
        <w:bottom w:val="none" w:sz="0" w:space="0" w:color="auto"/>
        <w:right w:val="none" w:sz="0" w:space="0" w:color="auto"/>
      </w:divBdr>
    </w:div>
    <w:div w:id="759063739">
      <w:bodyDiv w:val="1"/>
      <w:marLeft w:val="0"/>
      <w:marRight w:val="0"/>
      <w:marTop w:val="0"/>
      <w:marBottom w:val="0"/>
      <w:divBdr>
        <w:top w:val="none" w:sz="0" w:space="0" w:color="auto"/>
        <w:left w:val="none" w:sz="0" w:space="0" w:color="auto"/>
        <w:bottom w:val="none" w:sz="0" w:space="0" w:color="auto"/>
        <w:right w:val="none" w:sz="0" w:space="0" w:color="auto"/>
      </w:divBdr>
    </w:div>
    <w:div w:id="826557164">
      <w:bodyDiv w:val="1"/>
      <w:marLeft w:val="0"/>
      <w:marRight w:val="0"/>
      <w:marTop w:val="0"/>
      <w:marBottom w:val="0"/>
      <w:divBdr>
        <w:top w:val="none" w:sz="0" w:space="0" w:color="auto"/>
        <w:left w:val="none" w:sz="0" w:space="0" w:color="auto"/>
        <w:bottom w:val="none" w:sz="0" w:space="0" w:color="auto"/>
        <w:right w:val="none" w:sz="0" w:space="0" w:color="auto"/>
      </w:divBdr>
    </w:div>
    <w:div w:id="929581633">
      <w:bodyDiv w:val="1"/>
      <w:marLeft w:val="0"/>
      <w:marRight w:val="0"/>
      <w:marTop w:val="0"/>
      <w:marBottom w:val="0"/>
      <w:divBdr>
        <w:top w:val="none" w:sz="0" w:space="0" w:color="auto"/>
        <w:left w:val="none" w:sz="0" w:space="0" w:color="auto"/>
        <w:bottom w:val="none" w:sz="0" w:space="0" w:color="auto"/>
        <w:right w:val="none" w:sz="0" w:space="0" w:color="auto"/>
      </w:divBdr>
    </w:div>
    <w:div w:id="966163684">
      <w:bodyDiv w:val="1"/>
      <w:marLeft w:val="0"/>
      <w:marRight w:val="0"/>
      <w:marTop w:val="0"/>
      <w:marBottom w:val="0"/>
      <w:divBdr>
        <w:top w:val="none" w:sz="0" w:space="0" w:color="auto"/>
        <w:left w:val="none" w:sz="0" w:space="0" w:color="auto"/>
        <w:bottom w:val="none" w:sz="0" w:space="0" w:color="auto"/>
        <w:right w:val="none" w:sz="0" w:space="0" w:color="auto"/>
      </w:divBdr>
    </w:div>
    <w:div w:id="1031996152">
      <w:bodyDiv w:val="1"/>
      <w:marLeft w:val="0"/>
      <w:marRight w:val="0"/>
      <w:marTop w:val="0"/>
      <w:marBottom w:val="0"/>
      <w:divBdr>
        <w:top w:val="none" w:sz="0" w:space="0" w:color="auto"/>
        <w:left w:val="none" w:sz="0" w:space="0" w:color="auto"/>
        <w:bottom w:val="none" w:sz="0" w:space="0" w:color="auto"/>
        <w:right w:val="none" w:sz="0" w:space="0" w:color="auto"/>
      </w:divBdr>
    </w:div>
    <w:div w:id="1120151572">
      <w:bodyDiv w:val="1"/>
      <w:marLeft w:val="0"/>
      <w:marRight w:val="0"/>
      <w:marTop w:val="0"/>
      <w:marBottom w:val="0"/>
      <w:divBdr>
        <w:top w:val="none" w:sz="0" w:space="0" w:color="auto"/>
        <w:left w:val="none" w:sz="0" w:space="0" w:color="auto"/>
        <w:bottom w:val="none" w:sz="0" w:space="0" w:color="auto"/>
        <w:right w:val="none" w:sz="0" w:space="0" w:color="auto"/>
      </w:divBdr>
    </w:div>
    <w:div w:id="1200781270">
      <w:bodyDiv w:val="1"/>
      <w:marLeft w:val="0"/>
      <w:marRight w:val="0"/>
      <w:marTop w:val="0"/>
      <w:marBottom w:val="0"/>
      <w:divBdr>
        <w:top w:val="none" w:sz="0" w:space="0" w:color="auto"/>
        <w:left w:val="none" w:sz="0" w:space="0" w:color="auto"/>
        <w:bottom w:val="none" w:sz="0" w:space="0" w:color="auto"/>
        <w:right w:val="none" w:sz="0" w:space="0" w:color="auto"/>
      </w:divBdr>
    </w:div>
    <w:div w:id="1417943099">
      <w:bodyDiv w:val="1"/>
      <w:marLeft w:val="0"/>
      <w:marRight w:val="0"/>
      <w:marTop w:val="0"/>
      <w:marBottom w:val="0"/>
      <w:divBdr>
        <w:top w:val="none" w:sz="0" w:space="0" w:color="auto"/>
        <w:left w:val="none" w:sz="0" w:space="0" w:color="auto"/>
        <w:bottom w:val="none" w:sz="0" w:space="0" w:color="auto"/>
        <w:right w:val="none" w:sz="0" w:space="0" w:color="auto"/>
      </w:divBdr>
    </w:div>
    <w:div w:id="1537350807">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716536646">
      <w:bodyDiv w:val="1"/>
      <w:marLeft w:val="0"/>
      <w:marRight w:val="0"/>
      <w:marTop w:val="0"/>
      <w:marBottom w:val="0"/>
      <w:divBdr>
        <w:top w:val="none" w:sz="0" w:space="0" w:color="auto"/>
        <w:left w:val="none" w:sz="0" w:space="0" w:color="auto"/>
        <w:bottom w:val="none" w:sz="0" w:space="0" w:color="auto"/>
        <w:right w:val="none" w:sz="0" w:space="0" w:color="auto"/>
      </w:divBdr>
    </w:div>
    <w:div w:id="180461772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uriserv%3AOJ.L_.2021.007.01.0022.01.DEU&amp;toc=OJ%3AL%3A2021%3A007%3AF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DE/TXT/?uri=uriserv%3AOJ.L_.2021.007.01.0001.01.DEU&amp;toc=OJ%3AL%3A2021%3A007%3AFUL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t-online.de" TargetMode="External"/><Relationship Id="rId4" Type="http://schemas.openxmlformats.org/officeDocument/2006/relationships/webSettings" Target="webSettings.xml"/><Relationship Id="rId9" Type="http://schemas.openxmlformats.org/officeDocument/2006/relationships/hyperlink" Target="https://www.bft-online.de/publikationen/infomateri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2021-01-19T10:45:00Z</dcterms:created>
  <dcterms:modified xsi:type="dcterms:W3CDTF">2021-01-20T10:08:00Z</dcterms:modified>
</cp:coreProperties>
</file>