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BC7D0" w14:textId="67D71AB9" w:rsidR="000B7BCA" w:rsidRPr="008D121A" w:rsidRDefault="000B7BCA" w:rsidP="000B7BCA">
      <w:pPr>
        <w:rPr>
          <w:rFonts w:ascii="HelveticaNeueLT Pro 55 Roman" w:hAnsi="HelveticaNeueLT Pro 55 Roman" w:cs="Calibri"/>
          <w:b/>
          <w:i/>
          <w:iCs/>
          <w:sz w:val="28"/>
          <w:szCs w:val="28"/>
          <w:lang w:val="de-DE"/>
        </w:rPr>
      </w:pPr>
      <w:r w:rsidRPr="008D121A">
        <w:rPr>
          <w:rFonts w:ascii="HelveticaNeueLT Pro 55 Roman" w:hAnsi="HelveticaNeueLT Pro 55 Roman" w:cs="Calibri"/>
          <w:b/>
          <w:i/>
          <w:iCs/>
          <w:sz w:val="28"/>
          <w:szCs w:val="28"/>
          <w:lang w:val="de-DE"/>
        </w:rPr>
        <w:t xml:space="preserve">Förderung der drei Säulen der Nachhaltigkeit durch bessere Gesundheit und Wohlbefinden der Tiere: Anwendung von </w:t>
      </w:r>
      <w:r w:rsidR="00C25635">
        <w:rPr>
          <w:rFonts w:ascii="HelveticaNeueLT Pro 55 Roman" w:hAnsi="HelveticaNeueLT Pro 55 Roman" w:cs="Calibri"/>
          <w:b/>
          <w:i/>
          <w:iCs/>
          <w:sz w:val="28"/>
          <w:szCs w:val="28"/>
          <w:lang w:val="de-DE"/>
        </w:rPr>
        <w:t>wissenschaftlichen Erkenntnissen</w:t>
      </w:r>
      <w:r w:rsidR="00C25635" w:rsidRPr="008D121A">
        <w:rPr>
          <w:rFonts w:ascii="HelveticaNeueLT Pro 55 Roman" w:hAnsi="HelveticaNeueLT Pro 55 Roman" w:cs="Calibri"/>
          <w:b/>
          <w:i/>
          <w:iCs/>
          <w:sz w:val="28"/>
          <w:szCs w:val="28"/>
          <w:lang w:val="de-DE"/>
        </w:rPr>
        <w:t xml:space="preserve"> </w:t>
      </w:r>
      <w:r w:rsidRPr="008D121A">
        <w:rPr>
          <w:rFonts w:ascii="HelveticaNeueLT Pro 55 Roman" w:hAnsi="HelveticaNeueLT Pro 55 Roman" w:cs="Calibri"/>
          <w:b/>
          <w:i/>
          <w:iCs/>
          <w:sz w:val="28"/>
          <w:szCs w:val="28"/>
          <w:lang w:val="de-DE"/>
        </w:rPr>
        <w:t>auf Aktionspläne</w:t>
      </w:r>
    </w:p>
    <w:p w14:paraId="05DD37AE" w14:textId="45A8963A" w:rsidR="000B7BCA" w:rsidRDefault="000B7BCA" w:rsidP="000B7BCA">
      <w:pPr>
        <w:ind w:hanging="11"/>
        <w:rPr>
          <w:rFonts w:ascii="HelveticaNeueLT Pro 55 Roman" w:hAnsi="HelveticaNeueLT Pro 55 Roman" w:cs="Calibri"/>
          <w:bCs/>
          <w:lang w:val="de-DE"/>
        </w:rPr>
      </w:pPr>
      <w:r w:rsidRPr="008D121A">
        <w:rPr>
          <w:rFonts w:ascii="HelveticaNeueLT Pro 55 Roman" w:hAnsi="HelveticaNeueLT Pro 55 Roman" w:cs="Calibri"/>
          <w:b/>
          <w:lang w:val="de-DE"/>
        </w:rPr>
        <w:t xml:space="preserve">21. Januar 2021, Berlin / Brüssel / Washington DC </w:t>
      </w:r>
      <w:r w:rsidR="008D121A">
        <w:rPr>
          <w:rFonts w:ascii="HelveticaNeueLT Pro 55 Roman" w:hAnsi="HelveticaNeueLT Pro 55 Roman" w:cs="Calibri"/>
          <w:b/>
          <w:lang w:val="de-DE"/>
        </w:rPr>
        <w:t>–</w:t>
      </w:r>
      <w:r w:rsidRPr="008D121A">
        <w:rPr>
          <w:rFonts w:ascii="HelveticaNeueLT Pro 55 Roman" w:hAnsi="HelveticaNeueLT Pro 55 Roman" w:cs="Calibri"/>
          <w:b/>
          <w:lang w:val="de-DE"/>
        </w:rPr>
        <w:t xml:space="preserve"> </w:t>
      </w:r>
      <w:r w:rsidRPr="008D121A">
        <w:rPr>
          <w:rFonts w:ascii="HelveticaNeueLT Pro 55 Roman" w:hAnsi="HelveticaNeueLT Pro 55 Roman" w:cs="Calibri"/>
          <w:bCs/>
          <w:lang w:val="de-DE"/>
        </w:rPr>
        <w:t xml:space="preserve">Experten für Agrarökonomie, Nachhaltigkeit in der Tierhaltung, Management natürlicher Ressourcen und Politik, diskutierten auf einer Podiumsdiskussion </w:t>
      </w:r>
      <w:r w:rsidR="00C25635">
        <w:rPr>
          <w:rFonts w:ascii="HelveticaNeueLT Pro 55 Roman" w:hAnsi="HelveticaNeueLT Pro 55 Roman" w:cs="Calibri"/>
          <w:bCs/>
          <w:lang w:val="de-DE"/>
        </w:rPr>
        <w:t xml:space="preserve">im Rahmen </w:t>
      </w:r>
      <w:r w:rsidRPr="008D121A">
        <w:rPr>
          <w:rFonts w:ascii="HelveticaNeueLT Pro 55 Roman" w:hAnsi="HelveticaNeueLT Pro 55 Roman" w:cs="Calibri"/>
          <w:bCs/>
          <w:lang w:val="de-DE"/>
        </w:rPr>
        <w:t xml:space="preserve">des </w:t>
      </w:r>
      <w:r w:rsidR="00C25635">
        <w:rPr>
          <w:rFonts w:ascii="HelveticaNeueLT Pro 55 Roman" w:hAnsi="HelveticaNeueLT Pro 55 Roman" w:cs="Calibri"/>
          <w:bCs/>
          <w:lang w:val="de-DE"/>
        </w:rPr>
        <w:t xml:space="preserve">Global Forum for Food and Agriculture </w:t>
      </w:r>
      <w:r w:rsidRPr="008D121A">
        <w:rPr>
          <w:rFonts w:ascii="HelveticaNeueLT Pro 55 Roman" w:hAnsi="HelveticaNeueLT Pro 55 Roman" w:cs="Calibri"/>
          <w:bCs/>
          <w:lang w:val="de-DE"/>
        </w:rPr>
        <w:t>die Beiträge ein</w:t>
      </w:r>
      <w:r w:rsidR="00722401">
        <w:rPr>
          <w:rFonts w:ascii="HelveticaNeueLT Pro 55 Roman" w:hAnsi="HelveticaNeueLT Pro 55 Roman" w:cs="Calibri"/>
          <w:bCs/>
          <w:lang w:val="de-DE"/>
        </w:rPr>
        <w:t xml:space="preserve">es guten </w:t>
      </w:r>
      <w:r w:rsidRPr="008D121A">
        <w:rPr>
          <w:rFonts w:ascii="HelveticaNeueLT Pro 55 Roman" w:hAnsi="HelveticaNeueLT Pro 55 Roman" w:cs="Calibri"/>
          <w:bCs/>
          <w:lang w:val="de-DE"/>
        </w:rPr>
        <w:t>Gesundheit</w:t>
      </w:r>
      <w:r w:rsidR="00722401">
        <w:rPr>
          <w:rFonts w:ascii="HelveticaNeueLT Pro 55 Roman" w:hAnsi="HelveticaNeueLT Pro 55 Roman" w:cs="Calibri"/>
          <w:bCs/>
          <w:lang w:val="de-DE"/>
        </w:rPr>
        <w:t>sstatus</w:t>
      </w:r>
      <w:r w:rsidRPr="008D121A">
        <w:rPr>
          <w:rFonts w:ascii="HelveticaNeueLT Pro 55 Roman" w:hAnsi="HelveticaNeueLT Pro 55 Roman" w:cs="Calibri"/>
          <w:bCs/>
          <w:lang w:val="de-DE"/>
        </w:rPr>
        <w:t xml:space="preserve"> und Wohlbefindens von Nutztieren zur Nachhaltigkeit. Die Veranstaltung wurde gemeinsam vom deutschen, europäischen und dem </w:t>
      </w:r>
      <w:r w:rsidR="00C25635">
        <w:rPr>
          <w:rFonts w:ascii="HelveticaNeueLT Pro 55 Roman" w:hAnsi="HelveticaNeueLT Pro 55 Roman" w:cs="Calibri"/>
          <w:bCs/>
          <w:lang w:val="de-DE"/>
        </w:rPr>
        <w:t xml:space="preserve">Weltverband </w:t>
      </w:r>
      <w:r w:rsidRPr="008D121A">
        <w:rPr>
          <w:rFonts w:ascii="HelveticaNeueLT Pro 55 Roman" w:hAnsi="HelveticaNeueLT Pro 55 Roman" w:cs="Calibri"/>
          <w:bCs/>
          <w:lang w:val="de-DE"/>
        </w:rPr>
        <w:t xml:space="preserve">der </w:t>
      </w:r>
      <w:r w:rsidR="00C25635">
        <w:rPr>
          <w:rFonts w:ascii="HelveticaNeueLT Pro 55 Roman" w:hAnsi="HelveticaNeueLT Pro 55 Roman" w:cs="Calibri"/>
          <w:bCs/>
          <w:lang w:val="de-DE"/>
        </w:rPr>
        <w:t>Tiergesundheitsindustrie</w:t>
      </w:r>
      <w:r w:rsidR="00722401">
        <w:rPr>
          <w:rFonts w:ascii="HelveticaNeueLT Pro 55 Roman" w:hAnsi="HelveticaNeueLT Pro 55 Roman" w:cs="Calibri"/>
          <w:bCs/>
          <w:lang w:val="de-DE"/>
        </w:rPr>
        <w:t xml:space="preserve"> </w:t>
      </w:r>
      <w:r w:rsidRPr="008D121A">
        <w:rPr>
          <w:rFonts w:ascii="HelveticaNeueLT Pro 55 Roman" w:hAnsi="HelveticaNeueLT Pro 55 Roman" w:cs="Calibri"/>
          <w:bCs/>
          <w:lang w:val="de-DE"/>
        </w:rPr>
        <w:t>veranstaltet.</w:t>
      </w:r>
    </w:p>
    <w:p w14:paraId="4AC61E56" w14:textId="77777777" w:rsidR="00257714" w:rsidRDefault="000B7BCA" w:rsidP="00D02DAC">
      <w:pPr>
        <w:rPr>
          <w:rFonts w:ascii="HelveticaNeueLT Pro 55 Roman" w:hAnsi="HelveticaNeueLT Pro 55 Roman" w:cs="Calibri"/>
          <w:bCs/>
          <w:lang w:val="de-DE"/>
        </w:rPr>
      </w:pPr>
      <w:r w:rsidRPr="008D121A">
        <w:rPr>
          <w:rFonts w:ascii="HelveticaNeueLT Pro 55 Roman" w:hAnsi="HelveticaNeueLT Pro 55 Roman" w:cs="Calibri"/>
          <w:bCs/>
          <w:lang w:val="de-DE"/>
        </w:rPr>
        <w:t xml:space="preserve">Unter dem Motto „Wie man die Welt in Zeiten von Pandemien und Klimawandel ernährt“ konzentrierte sich das GFFA </w:t>
      </w:r>
      <w:r w:rsidR="00722401" w:rsidRPr="008D121A">
        <w:rPr>
          <w:rFonts w:ascii="HelveticaNeueLT Pro 55 Roman" w:hAnsi="HelveticaNeueLT Pro 55 Roman" w:cs="Calibri"/>
          <w:bCs/>
          <w:lang w:val="de-DE"/>
        </w:rPr>
        <w:t>stark</w:t>
      </w:r>
      <w:r w:rsidR="00722401" w:rsidRPr="00724D44">
        <w:rPr>
          <w:rFonts w:ascii="HelveticaNeueLT Pro 55 Roman" w:hAnsi="HelveticaNeueLT Pro 55 Roman" w:cs="Calibri"/>
          <w:bCs/>
          <w:lang w:val="de-DE"/>
        </w:rPr>
        <w:t xml:space="preserve"> auf</w:t>
      </w:r>
      <w:r w:rsidR="00867C36" w:rsidRPr="00724D44">
        <w:rPr>
          <w:rFonts w:ascii="HelveticaNeueLT Pro 55 Roman" w:hAnsi="HelveticaNeueLT Pro 55 Roman" w:cs="Calibri"/>
          <w:bCs/>
          <w:lang w:val="de-DE"/>
        </w:rPr>
        <w:t xml:space="preserve"> das Thema Resilienz, das sich wie ein roter Faden durch die jüngsten politischen </w:t>
      </w:r>
      <w:r w:rsidR="00867C36">
        <w:rPr>
          <w:rFonts w:ascii="HelveticaNeueLT Pro 55 Roman" w:hAnsi="HelveticaNeueLT Pro 55 Roman" w:cs="Calibri"/>
          <w:bCs/>
          <w:lang w:val="de-DE"/>
        </w:rPr>
        <w:t>Strategien</w:t>
      </w:r>
      <w:r w:rsidR="00867C36" w:rsidRPr="00724D44">
        <w:rPr>
          <w:rFonts w:ascii="HelveticaNeueLT Pro 55 Roman" w:hAnsi="HelveticaNeueLT Pro 55 Roman" w:cs="Calibri"/>
          <w:bCs/>
          <w:lang w:val="de-DE"/>
        </w:rPr>
        <w:t xml:space="preserve"> und </w:t>
      </w:r>
      <w:r w:rsidR="00867C36">
        <w:rPr>
          <w:rFonts w:ascii="HelveticaNeueLT Pro 55 Roman" w:hAnsi="HelveticaNeueLT Pro 55 Roman" w:cs="Calibri"/>
          <w:bCs/>
          <w:lang w:val="de-DE"/>
        </w:rPr>
        <w:t>Abkommen</w:t>
      </w:r>
      <w:r w:rsidR="00867C36" w:rsidRPr="00724D44">
        <w:rPr>
          <w:rFonts w:ascii="HelveticaNeueLT Pro 55 Roman" w:hAnsi="HelveticaNeueLT Pro 55 Roman" w:cs="Calibri"/>
          <w:bCs/>
          <w:lang w:val="de-DE"/>
        </w:rPr>
        <w:t xml:space="preserve"> zieht</w:t>
      </w:r>
      <w:r w:rsidRPr="008D121A">
        <w:rPr>
          <w:rFonts w:ascii="HelveticaNeueLT Pro 55 Roman" w:hAnsi="HelveticaNeueLT Pro 55 Roman" w:cs="Calibri"/>
          <w:bCs/>
          <w:lang w:val="de-DE"/>
        </w:rPr>
        <w:t xml:space="preserve">, einschließlich des Pariser Klimaschutzabkommens und des </w:t>
      </w:r>
      <w:r w:rsidR="00C25635">
        <w:rPr>
          <w:rFonts w:ascii="HelveticaNeueLT Pro 55 Roman" w:hAnsi="HelveticaNeueLT Pro 55 Roman" w:cs="Calibri"/>
          <w:bCs/>
          <w:lang w:val="de-DE"/>
        </w:rPr>
        <w:t>e</w:t>
      </w:r>
      <w:r w:rsidRPr="008D121A">
        <w:rPr>
          <w:rFonts w:ascii="HelveticaNeueLT Pro 55 Roman" w:hAnsi="HelveticaNeueLT Pro 55 Roman" w:cs="Calibri"/>
          <w:bCs/>
          <w:lang w:val="de-DE"/>
        </w:rPr>
        <w:t>uropäischen Green Deal.</w:t>
      </w:r>
    </w:p>
    <w:p w14:paraId="589E3647" w14:textId="0F51A8D1" w:rsidR="00D02DAC" w:rsidRPr="008D121A" w:rsidRDefault="00D02DAC" w:rsidP="00D02DAC">
      <w:pPr>
        <w:rPr>
          <w:rFonts w:ascii="HelveticaNeueLT Pro 55 Roman" w:hAnsi="HelveticaNeueLT Pro 55 Roman" w:cs="Calibri"/>
          <w:bCs/>
          <w:lang w:val="de-DE"/>
        </w:rPr>
      </w:pPr>
      <w:r w:rsidRPr="008D121A">
        <w:rPr>
          <w:rFonts w:ascii="HelveticaNeueLT Pro 55 Roman" w:hAnsi="HelveticaNeueLT Pro 55 Roman" w:cs="Calibri"/>
          <w:bCs/>
          <w:lang w:val="de-DE"/>
        </w:rPr>
        <w:t xml:space="preserve">Laut Anne Mottet, Ernährungs- und Landwirtschaftsorganisation der Vereinten Nationen (FAO) spielen Nutztiere eine zentrale Rolle für den </w:t>
      </w:r>
      <w:r w:rsidR="00722401" w:rsidRPr="008D121A">
        <w:rPr>
          <w:rFonts w:ascii="HelveticaNeueLT Pro 55 Roman" w:hAnsi="HelveticaNeueLT Pro 55 Roman" w:cs="Calibri"/>
          <w:bCs/>
          <w:lang w:val="de-DE"/>
        </w:rPr>
        <w:t>Lebensunterhalt</w:t>
      </w:r>
      <w:r w:rsidR="00722401" w:rsidRPr="008F76D2">
        <w:rPr>
          <w:rFonts w:ascii="HelveticaNeueLT Pro 55 Roman" w:hAnsi="HelveticaNeueLT Pro 55 Roman" w:cs="Calibri"/>
          <w:bCs/>
          <w:lang w:val="de-DE"/>
        </w:rPr>
        <w:t xml:space="preserve"> von</w:t>
      </w:r>
      <w:r w:rsidR="008F76D2" w:rsidRPr="008F76D2">
        <w:rPr>
          <w:rFonts w:ascii="HelveticaNeueLT Pro 55 Roman" w:hAnsi="HelveticaNeueLT Pro 55 Roman" w:cs="Calibri"/>
          <w:bCs/>
          <w:lang w:val="de-DE"/>
        </w:rPr>
        <w:t xml:space="preserve"> einer Milliarde Menschen</w:t>
      </w:r>
      <w:r w:rsidRPr="008D121A">
        <w:rPr>
          <w:rFonts w:ascii="HelveticaNeueLT Pro 55 Roman" w:hAnsi="HelveticaNeueLT Pro 55 Roman" w:cs="Calibri"/>
          <w:bCs/>
          <w:lang w:val="de-DE"/>
        </w:rPr>
        <w:t>, die von weniger als 2 US-Dollar pro Tag leben</w:t>
      </w:r>
      <w:r w:rsidR="00722401">
        <w:rPr>
          <w:rFonts w:ascii="HelveticaNeueLT Pro 55 Roman" w:hAnsi="HelveticaNeueLT Pro 55 Roman" w:cs="Calibri"/>
          <w:bCs/>
          <w:lang w:val="de-DE"/>
        </w:rPr>
        <w:t>.</w:t>
      </w:r>
      <w:r w:rsidRPr="008D121A">
        <w:rPr>
          <w:rFonts w:ascii="HelveticaNeueLT Pro 55 Roman" w:hAnsi="HelveticaNeueLT Pro 55 Roman" w:cs="Calibri"/>
          <w:bCs/>
          <w:lang w:val="de-DE"/>
        </w:rPr>
        <w:t xml:space="preserve"> Verbesserungen der Tiergesundheit bringen klare wirtschaftliche Vorteile. Die Regierungen </w:t>
      </w:r>
      <w:r w:rsidR="00722401" w:rsidRPr="008D121A">
        <w:rPr>
          <w:rFonts w:ascii="HelveticaNeueLT Pro 55 Roman" w:hAnsi="HelveticaNeueLT Pro 55 Roman" w:cs="Calibri"/>
          <w:bCs/>
          <w:lang w:val="de-DE"/>
        </w:rPr>
        <w:t>werden</w:t>
      </w:r>
      <w:r w:rsidR="00722401">
        <w:rPr>
          <w:rFonts w:ascii="HelveticaNeueLT Pro 55 Roman" w:hAnsi="HelveticaNeueLT Pro 55 Roman" w:cs="Calibri"/>
          <w:bCs/>
          <w:lang w:val="de-DE"/>
        </w:rPr>
        <w:t xml:space="preserve"> ermutigt</w:t>
      </w:r>
      <w:r w:rsidRPr="008D121A">
        <w:rPr>
          <w:rFonts w:ascii="HelveticaNeueLT Pro 55 Roman" w:hAnsi="HelveticaNeueLT Pro 55 Roman" w:cs="Calibri"/>
          <w:bCs/>
          <w:lang w:val="de-DE"/>
        </w:rPr>
        <w:t xml:space="preserve">, den Beitrag der Nutztierhaltung zum Lebensunterhalt und zur Armutsbekämpfung sowie zur </w:t>
      </w:r>
      <w:r w:rsidR="008F76D2" w:rsidRPr="008F76D2">
        <w:rPr>
          <w:rFonts w:ascii="HelveticaNeueLT Pro 55 Roman" w:hAnsi="HelveticaNeueLT Pro 55 Roman" w:cs="Calibri"/>
          <w:bCs/>
          <w:lang w:val="de-DE"/>
        </w:rPr>
        <w:t>Bereitstellung von Arbeitsplätzen</w:t>
      </w:r>
      <w:r w:rsidR="00722401">
        <w:rPr>
          <w:rFonts w:ascii="HelveticaNeueLT Pro 55 Roman" w:hAnsi="HelveticaNeueLT Pro 55 Roman" w:cs="Calibri"/>
          <w:bCs/>
          <w:lang w:val="de-DE"/>
        </w:rPr>
        <w:t xml:space="preserve"> </w:t>
      </w:r>
      <w:r w:rsidRPr="008D121A">
        <w:rPr>
          <w:rFonts w:ascii="HelveticaNeueLT Pro 55 Roman" w:hAnsi="HelveticaNeueLT Pro 55 Roman" w:cs="Calibri"/>
          <w:bCs/>
          <w:lang w:val="de-DE"/>
        </w:rPr>
        <w:t xml:space="preserve">und zum </w:t>
      </w:r>
      <w:r w:rsidR="00722401" w:rsidRPr="008D121A">
        <w:rPr>
          <w:rFonts w:ascii="HelveticaNeueLT Pro 55 Roman" w:hAnsi="HelveticaNeueLT Pro 55 Roman" w:cs="Calibri"/>
          <w:bCs/>
          <w:lang w:val="de-DE"/>
        </w:rPr>
        <w:t>Wirtschaftswachstum</w:t>
      </w:r>
      <w:r w:rsidR="00722401">
        <w:rPr>
          <w:rFonts w:ascii="HelveticaNeueLT Pro 55 Roman" w:hAnsi="HelveticaNeueLT Pro 55 Roman" w:cs="Calibri"/>
          <w:bCs/>
          <w:lang w:val="de-DE"/>
        </w:rPr>
        <w:t xml:space="preserve"> nicht</w:t>
      </w:r>
      <w:r w:rsidR="008F76D2">
        <w:rPr>
          <w:rFonts w:ascii="HelveticaNeueLT Pro 55 Roman" w:hAnsi="HelveticaNeueLT Pro 55 Roman" w:cs="Calibri"/>
          <w:bCs/>
          <w:lang w:val="de-DE"/>
        </w:rPr>
        <w:t xml:space="preserve"> außer Acht zu lassen</w:t>
      </w:r>
      <w:r w:rsidRPr="008D121A">
        <w:rPr>
          <w:rFonts w:ascii="HelveticaNeueLT Pro 55 Roman" w:hAnsi="HelveticaNeueLT Pro 55 Roman" w:cs="Calibri"/>
          <w:bCs/>
          <w:lang w:val="de-DE"/>
        </w:rPr>
        <w:t>.</w:t>
      </w:r>
    </w:p>
    <w:p w14:paraId="44F9FF89" w14:textId="77777777" w:rsidR="00722401" w:rsidRDefault="00722401" w:rsidP="000B7BCA">
      <w:pPr>
        <w:rPr>
          <w:rFonts w:ascii="HelveticaNeueLT Pro 55 Roman" w:hAnsi="HelveticaNeueLT Pro 55 Roman" w:cs="Calibri"/>
          <w:bCs/>
          <w:lang w:val="de-DE"/>
        </w:rPr>
      </w:pPr>
      <w:r w:rsidRPr="00722401">
        <w:rPr>
          <w:rFonts w:ascii="HelveticaNeueLT Pro 55 Roman" w:hAnsi="HelveticaNeueLT Pro 55 Roman" w:cs="Calibri"/>
          <w:bCs/>
          <w:lang w:val="de-DE"/>
        </w:rPr>
        <w:t xml:space="preserve">Auch in der Nutztierhaltung bieten sich wesentliche Möglichkeiten, einen positiven Beitrag zu den Säulen der ökologischen und sozialen Nachhaltigkeit zu leisten. Die Verbesserung der Tiergesundheit und des Krankheitsmanagements wird jedoch in Nachhaltigkeitsbewertungen selten berücksichtigt. </w:t>
      </w:r>
    </w:p>
    <w:p w14:paraId="5266C405" w14:textId="3DC7D22E" w:rsidR="000B7BCA" w:rsidRPr="008D121A" w:rsidRDefault="000B7BCA" w:rsidP="000B7BCA">
      <w:pPr>
        <w:rPr>
          <w:rFonts w:ascii="HelveticaNeueLT Pro 55 Roman" w:hAnsi="HelveticaNeueLT Pro 55 Roman" w:cs="Calibri"/>
          <w:bCs/>
          <w:lang w:val="de-DE"/>
        </w:rPr>
      </w:pPr>
      <w:r w:rsidRPr="008D121A">
        <w:rPr>
          <w:rFonts w:ascii="HelveticaNeueLT Pro 55 Roman" w:hAnsi="HelveticaNeueLT Pro 55 Roman" w:cs="Calibri"/>
          <w:bCs/>
          <w:lang w:val="de-DE"/>
        </w:rPr>
        <w:t>Dr. Jude Capper</w:t>
      </w:r>
      <w:r w:rsidR="004147D0" w:rsidRPr="008D121A">
        <w:rPr>
          <w:rFonts w:ascii="HelveticaNeueLT Pro 55 Roman" w:hAnsi="HelveticaNeueLT Pro 55 Roman" w:cs="Calibri"/>
          <w:bCs/>
          <w:lang w:val="de-DE"/>
        </w:rPr>
        <w:t>, Nachhaltigkeitsexpertin für Nutztierhaltung</w:t>
      </w:r>
      <w:r w:rsidR="009920CA">
        <w:rPr>
          <w:rFonts w:ascii="HelveticaNeueLT Pro 55 Roman" w:hAnsi="HelveticaNeueLT Pro 55 Roman" w:cs="Calibri"/>
          <w:bCs/>
          <w:lang w:val="de-DE"/>
        </w:rPr>
        <w:t>,</w:t>
      </w:r>
      <w:r w:rsidRPr="008D121A">
        <w:rPr>
          <w:rFonts w:ascii="HelveticaNeueLT Pro 55 Roman" w:hAnsi="HelveticaNeueLT Pro 55 Roman" w:cs="Calibri"/>
          <w:bCs/>
          <w:lang w:val="de-DE"/>
        </w:rPr>
        <w:t xml:space="preserve"> </w:t>
      </w:r>
      <w:r w:rsidR="00D02DAC" w:rsidRPr="008D121A">
        <w:rPr>
          <w:rFonts w:ascii="HelveticaNeueLT Pro 55 Roman" w:hAnsi="HelveticaNeueLT Pro 55 Roman" w:cs="Calibri"/>
          <w:bCs/>
          <w:lang w:val="de-DE"/>
        </w:rPr>
        <w:t xml:space="preserve">erläuterte </w:t>
      </w:r>
      <w:r w:rsidRPr="008D121A">
        <w:rPr>
          <w:rFonts w:ascii="HelveticaNeueLT Pro 55 Roman" w:hAnsi="HelveticaNeueLT Pro 55 Roman" w:cs="Calibri"/>
          <w:bCs/>
          <w:lang w:val="de-DE"/>
        </w:rPr>
        <w:t xml:space="preserve">die Reduktionspotenziale bei Ressourcennutzung und Treibhausgasemissionen </w:t>
      </w:r>
      <w:r w:rsidR="00D02DAC" w:rsidRPr="008D121A">
        <w:rPr>
          <w:rFonts w:ascii="HelveticaNeueLT Pro 55 Roman" w:hAnsi="HelveticaNeueLT Pro 55 Roman" w:cs="Calibri"/>
          <w:bCs/>
          <w:lang w:val="de-DE"/>
        </w:rPr>
        <w:t xml:space="preserve">durch eine verbesserte </w:t>
      </w:r>
      <w:r w:rsidRPr="008D121A">
        <w:rPr>
          <w:rFonts w:ascii="HelveticaNeueLT Pro 55 Roman" w:hAnsi="HelveticaNeueLT Pro 55 Roman" w:cs="Calibri"/>
          <w:bCs/>
          <w:lang w:val="de-DE"/>
        </w:rPr>
        <w:t xml:space="preserve">Produktivität </w:t>
      </w:r>
      <w:r w:rsidR="00D02DAC" w:rsidRPr="008D121A">
        <w:rPr>
          <w:rFonts w:ascii="HelveticaNeueLT Pro 55 Roman" w:hAnsi="HelveticaNeueLT Pro 55 Roman" w:cs="Calibri"/>
          <w:bCs/>
          <w:lang w:val="de-DE"/>
        </w:rPr>
        <w:t>basierend auf einem guten Tiergesundheitsstatus und verdeutlichte dies anhand einer Studie zum</w:t>
      </w:r>
      <w:r w:rsidRPr="008D121A">
        <w:rPr>
          <w:rFonts w:ascii="HelveticaNeueLT Pro 55 Roman" w:hAnsi="HelveticaNeueLT Pro 55 Roman" w:cs="Calibri"/>
          <w:bCs/>
          <w:lang w:val="de-DE"/>
        </w:rPr>
        <w:t xml:space="preserve"> aktuellen Ausbruch der Afrikanischen Schweinepes</w:t>
      </w:r>
      <w:r w:rsidR="00D02DAC" w:rsidRPr="008D121A">
        <w:rPr>
          <w:rFonts w:ascii="HelveticaNeueLT Pro 55 Roman" w:hAnsi="HelveticaNeueLT Pro 55 Roman" w:cs="Calibri"/>
          <w:bCs/>
          <w:lang w:val="de-DE"/>
        </w:rPr>
        <w:t>t (ASP)</w:t>
      </w:r>
      <w:r w:rsidRPr="008D121A">
        <w:rPr>
          <w:rFonts w:ascii="HelveticaNeueLT Pro 55 Roman" w:hAnsi="HelveticaNeueLT Pro 55 Roman" w:cs="Calibri"/>
          <w:bCs/>
          <w:lang w:val="de-DE"/>
        </w:rPr>
        <w:t>, der nun auch eine Reihe europäischer Länder erfasst</w:t>
      </w:r>
      <w:r w:rsidR="00D02DAC" w:rsidRPr="008D121A">
        <w:rPr>
          <w:rFonts w:ascii="HelveticaNeueLT Pro 55 Roman" w:hAnsi="HelveticaNeueLT Pro 55 Roman" w:cs="Calibri"/>
          <w:bCs/>
          <w:lang w:val="de-DE"/>
        </w:rPr>
        <w:t xml:space="preserve"> hat.</w:t>
      </w:r>
      <w:r w:rsidRPr="008D121A">
        <w:rPr>
          <w:rFonts w:ascii="HelveticaNeueLT Pro 55 Roman" w:hAnsi="HelveticaNeueLT Pro 55 Roman" w:cs="Calibri"/>
          <w:bCs/>
          <w:lang w:val="de-DE"/>
        </w:rPr>
        <w:t xml:space="preserve"> Mit bis zu 150 Millionen Schweinen, die 2019 </w:t>
      </w:r>
      <w:r w:rsidR="007B5990">
        <w:rPr>
          <w:rFonts w:ascii="HelveticaNeueLT Pro 55 Roman" w:hAnsi="HelveticaNeueLT Pro 55 Roman" w:cs="Calibri"/>
          <w:bCs/>
          <w:lang w:val="de-DE"/>
        </w:rPr>
        <w:t xml:space="preserve">durch </w:t>
      </w:r>
      <w:r w:rsidRPr="008D121A">
        <w:rPr>
          <w:rFonts w:ascii="HelveticaNeueLT Pro 55 Roman" w:hAnsi="HelveticaNeueLT Pro 55 Roman" w:cs="Calibri"/>
          <w:bCs/>
          <w:lang w:val="de-DE"/>
        </w:rPr>
        <w:t>AS</w:t>
      </w:r>
      <w:r w:rsidR="00D02DAC" w:rsidRPr="008D121A">
        <w:rPr>
          <w:rFonts w:ascii="HelveticaNeueLT Pro 55 Roman" w:hAnsi="HelveticaNeueLT Pro 55 Roman" w:cs="Calibri"/>
          <w:bCs/>
          <w:lang w:val="de-DE"/>
        </w:rPr>
        <w:t>P</w:t>
      </w:r>
      <w:r w:rsidRPr="008D121A">
        <w:rPr>
          <w:rFonts w:ascii="HelveticaNeueLT Pro 55 Roman" w:hAnsi="HelveticaNeueLT Pro 55 Roman" w:cs="Calibri"/>
          <w:bCs/>
          <w:lang w:val="de-DE"/>
        </w:rPr>
        <w:t xml:space="preserve"> verloren gingen, belaufen sich Treibhausgasemissionen</w:t>
      </w:r>
      <w:r w:rsidR="00D02DAC" w:rsidRPr="008D121A">
        <w:rPr>
          <w:rFonts w:ascii="HelveticaNeueLT Pro 55 Roman" w:hAnsi="HelveticaNeueLT Pro 55 Roman" w:cs="Calibri"/>
          <w:bCs/>
          <w:lang w:val="de-DE"/>
        </w:rPr>
        <w:t xml:space="preserve"> </w:t>
      </w:r>
      <w:r w:rsidRPr="008D121A">
        <w:rPr>
          <w:rFonts w:ascii="HelveticaNeueLT Pro 55 Roman" w:hAnsi="HelveticaNeueLT Pro 55 Roman" w:cs="Calibri"/>
          <w:bCs/>
          <w:lang w:val="de-DE"/>
        </w:rPr>
        <w:t>ohne Rendite</w:t>
      </w:r>
      <w:r w:rsidR="007B5990">
        <w:rPr>
          <w:rFonts w:ascii="HelveticaNeueLT Pro 55 Roman" w:hAnsi="HelveticaNeueLT Pro 55 Roman" w:cs="Calibri"/>
          <w:bCs/>
          <w:lang w:val="de-DE"/>
        </w:rPr>
        <w:t xml:space="preserve"> </w:t>
      </w:r>
      <w:r w:rsidR="007B5990" w:rsidRPr="008D121A">
        <w:rPr>
          <w:rFonts w:ascii="HelveticaNeueLT Pro 55 Roman" w:hAnsi="HelveticaNeueLT Pro 55 Roman" w:cs="Calibri"/>
          <w:bCs/>
          <w:lang w:val="de-DE"/>
        </w:rPr>
        <w:t>auf bis zu 45 Millionen Tonnen</w:t>
      </w:r>
      <w:r w:rsidR="00D02DAC" w:rsidRPr="008D121A">
        <w:rPr>
          <w:rFonts w:ascii="HelveticaNeueLT Pro 55 Roman" w:hAnsi="HelveticaNeueLT Pro 55 Roman" w:cs="Calibri"/>
          <w:bCs/>
          <w:lang w:val="de-DE"/>
        </w:rPr>
        <w:t xml:space="preserve">, da </w:t>
      </w:r>
      <w:r w:rsidRPr="008D121A">
        <w:rPr>
          <w:rFonts w:ascii="HelveticaNeueLT Pro 55 Roman" w:hAnsi="HelveticaNeueLT Pro 55 Roman" w:cs="Calibri"/>
          <w:bCs/>
          <w:lang w:val="de-DE"/>
        </w:rPr>
        <w:t>Schweinefleischprodukte nicht die globale Lebensmittelversorgungskette</w:t>
      </w:r>
      <w:r w:rsidR="00D02DAC" w:rsidRPr="008D121A">
        <w:rPr>
          <w:rFonts w:ascii="HelveticaNeueLT Pro 55 Roman" w:hAnsi="HelveticaNeueLT Pro 55 Roman"/>
          <w:lang w:val="de-DE"/>
        </w:rPr>
        <w:t xml:space="preserve"> </w:t>
      </w:r>
      <w:r w:rsidR="00D02DAC" w:rsidRPr="008D121A">
        <w:rPr>
          <w:rFonts w:ascii="HelveticaNeueLT Pro 55 Roman" w:hAnsi="HelveticaNeueLT Pro 55 Roman" w:cs="Calibri"/>
          <w:bCs/>
          <w:lang w:val="de-DE"/>
        </w:rPr>
        <w:t>erreichten</w:t>
      </w:r>
      <w:r w:rsidR="007B5990">
        <w:rPr>
          <w:rFonts w:ascii="HelveticaNeueLT Pro 55 Roman" w:hAnsi="HelveticaNeueLT Pro 55 Roman" w:cs="Calibri"/>
          <w:bCs/>
          <w:lang w:val="de-DE"/>
        </w:rPr>
        <w:t>.</w:t>
      </w:r>
    </w:p>
    <w:p w14:paraId="667ED010" w14:textId="42CA837A" w:rsidR="004147D0" w:rsidRPr="008D121A" w:rsidRDefault="004147D0" w:rsidP="004147D0">
      <w:pPr>
        <w:rPr>
          <w:rFonts w:ascii="HelveticaNeueLT Pro 55 Roman" w:hAnsi="HelveticaNeueLT Pro 55 Roman" w:cs="Calibri"/>
          <w:bCs/>
          <w:lang w:val="de-DE"/>
        </w:rPr>
      </w:pPr>
      <w:r w:rsidRPr="008D121A">
        <w:rPr>
          <w:rFonts w:ascii="HelveticaNeueLT Pro 55 Roman" w:hAnsi="HelveticaNeueLT Pro 55 Roman" w:cs="Calibri"/>
          <w:bCs/>
          <w:lang w:val="de-DE"/>
        </w:rPr>
        <w:t xml:space="preserve">Insbesondere in Entwicklungsländern, in denen der Zugang zu Tiergesundheitsdiensten nicht immer gegeben ist, werden Nutztiere als zentrales Gut und Sicherheitsnetz angesehen, das für viele </w:t>
      </w:r>
      <w:r w:rsidR="00B25584">
        <w:rPr>
          <w:rFonts w:ascii="HelveticaNeueLT Pro 55 Roman" w:hAnsi="HelveticaNeueLT Pro 55 Roman" w:cs="Calibri"/>
          <w:bCs/>
          <w:lang w:val="de-DE"/>
        </w:rPr>
        <w:t>Existenzen und insbesondere für Frauen</w:t>
      </w:r>
      <w:r w:rsidR="00B25584" w:rsidRPr="008D121A">
        <w:rPr>
          <w:rFonts w:ascii="HelveticaNeueLT Pro 55 Roman" w:hAnsi="HelveticaNeueLT Pro 55 Roman" w:cs="Calibri"/>
          <w:bCs/>
          <w:lang w:val="de-DE"/>
        </w:rPr>
        <w:t xml:space="preserve"> </w:t>
      </w:r>
      <w:r w:rsidRPr="008D121A">
        <w:rPr>
          <w:rFonts w:ascii="HelveticaNeueLT Pro 55 Roman" w:hAnsi="HelveticaNeueLT Pro 55 Roman" w:cs="Calibri"/>
          <w:bCs/>
          <w:lang w:val="de-DE"/>
        </w:rPr>
        <w:t>von grundlegender Bedeutung ist. Die Tiere</w:t>
      </w:r>
      <w:r w:rsidR="008C0A8A">
        <w:rPr>
          <w:rFonts w:ascii="HelveticaNeueLT Pro 55 Roman" w:hAnsi="HelveticaNeueLT Pro 55 Roman" w:cs="Calibri"/>
          <w:bCs/>
          <w:lang w:val="de-DE"/>
        </w:rPr>
        <w:t xml:space="preserve"> spielen </w:t>
      </w:r>
      <w:r w:rsidRPr="008D121A">
        <w:rPr>
          <w:rFonts w:ascii="HelveticaNeueLT Pro 55 Roman" w:hAnsi="HelveticaNeueLT Pro 55 Roman" w:cs="Calibri"/>
          <w:bCs/>
          <w:lang w:val="de-DE"/>
        </w:rPr>
        <w:t xml:space="preserve">auch eine wesentliche Rolle für eine ausgewogene Ernährung und eine gute Gesundheit. Die einfache Maßnahme, ein Ei pro Tag zu Diäten hinzuzufügen, bietet die Möglichkeit, </w:t>
      </w:r>
      <w:r w:rsidR="006E16A0" w:rsidRPr="00722401">
        <w:rPr>
          <w:rFonts w:ascii="HelveticaNeueLT Pro 55 Roman" w:hAnsi="HelveticaNeueLT Pro 55 Roman"/>
          <w:lang w:val="de-DE"/>
        </w:rPr>
        <w:t>das Risiko des Zurückbleibens in der körperlichen und geistigen Entwicklung bei Kindern zu reduzieren.</w:t>
      </w:r>
    </w:p>
    <w:p w14:paraId="0C099C93" w14:textId="007F8B6A" w:rsidR="004147D0" w:rsidRPr="008D121A" w:rsidRDefault="004147D0" w:rsidP="004147D0">
      <w:pPr>
        <w:rPr>
          <w:rFonts w:ascii="HelveticaNeueLT Pro 55 Roman" w:hAnsi="HelveticaNeueLT Pro 55 Roman" w:cs="Calibri"/>
          <w:bCs/>
          <w:lang w:val="de-DE"/>
        </w:rPr>
      </w:pPr>
      <w:r w:rsidRPr="008D121A">
        <w:rPr>
          <w:rFonts w:ascii="HelveticaNeueLT Pro 55 Roman" w:hAnsi="HelveticaNeueLT Pro 55 Roman" w:cs="Calibri"/>
          <w:bCs/>
          <w:lang w:val="de-DE"/>
        </w:rPr>
        <w:t>Shirley Tarawali</w:t>
      </w:r>
      <w:r w:rsidR="00722401">
        <w:rPr>
          <w:rFonts w:ascii="HelveticaNeueLT Pro 55 Roman" w:hAnsi="HelveticaNeueLT Pro 55 Roman" w:cs="Calibri"/>
          <w:bCs/>
          <w:lang w:val="de-DE"/>
        </w:rPr>
        <w:t xml:space="preserve">, </w:t>
      </w:r>
      <w:r w:rsidRPr="008D121A">
        <w:rPr>
          <w:rFonts w:ascii="HelveticaNeueLT Pro 55 Roman" w:hAnsi="HelveticaNeueLT Pro 55 Roman" w:cs="Calibri"/>
          <w:bCs/>
          <w:lang w:val="de-DE"/>
        </w:rPr>
        <w:t>International Food Livestock Research Institute (ILRI)</w:t>
      </w:r>
      <w:r w:rsidR="00204678">
        <w:rPr>
          <w:rFonts w:ascii="HelveticaNeueLT Pro 55 Roman" w:hAnsi="HelveticaNeueLT Pro 55 Roman" w:cs="Calibri"/>
          <w:bCs/>
          <w:lang w:val="de-DE"/>
        </w:rPr>
        <w:t xml:space="preserve"> </w:t>
      </w:r>
      <w:r w:rsidRPr="008D121A">
        <w:rPr>
          <w:rFonts w:ascii="HelveticaNeueLT Pro 55 Roman" w:hAnsi="HelveticaNeueLT Pro 55 Roman" w:cs="Calibri"/>
          <w:bCs/>
          <w:lang w:val="de-DE"/>
        </w:rPr>
        <w:t>betont</w:t>
      </w:r>
      <w:r w:rsidR="00722401">
        <w:rPr>
          <w:rFonts w:ascii="HelveticaNeueLT Pro 55 Roman" w:hAnsi="HelveticaNeueLT Pro 55 Roman" w:cs="Calibri"/>
          <w:bCs/>
          <w:lang w:val="de-DE"/>
        </w:rPr>
        <w:t>e</w:t>
      </w:r>
      <w:r w:rsidRPr="008D121A">
        <w:rPr>
          <w:rFonts w:ascii="HelveticaNeueLT Pro 55 Roman" w:hAnsi="HelveticaNeueLT Pro 55 Roman" w:cs="Calibri"/>
          <w:bCs/>
          <w:lang w:val="de-DE"/>
        </w:rPr>
        <w:t xml:space="preserve">, </w:t>
      </w:r>
      <w:r w:rsidR="00444721">
        <w:rPr>
          <w:rFonts w:ascii="HelveticaNeueLT Pro 55 Roman" w:hAnsi="HelveticaNeueLT Pro 55 Roman" w:cs="Calibri"/>
          <w:bCs/>
          <w:lang w:val="de-DE"/>
        </w:rPr>
        <w:t xml:space="preserve">wie wichtig </w:t>
      </w:r>
      <w:r w:rsidR="00722401">
        <w:rPr>
          <w:rFonts w:ascii="HelveticaNeueLT Pro 55 Roman" w:hAnsi="HelveticaNeueLT Pro 55 Roman" w:cs="Calibri"/>
          <w:bCs/>
          <w:lang w:val="de-DE"/>
        </w:rPr>
        <w:t xml:space="preserve">es </w:t>
      </w:r>
      <w:r w:rsidR="00444721">
        <w:rPr>
          <w:rFonts w:ascii="HelveticaNeueLT Pro 55 Roman" w:hAnsi="HelveticaNeueLT Pro 55 Roman" w:cs="Calibri"/>
          <w:bCs/>
          <w:lang w:val="de-DE"/>
        </w:rPr>
        <w:t>ist, dass</w:t>
      </w:r>
      <w:r w:rsidRPr="008D121A">
        <w:rPr>
          <w:rFonts w:ascii="HelveticaNeueLT Pro 55 Roman" w:hAnsi="HelveticaNeueLT Pro 55 Roman" w:cs="Calibri"/>
          <w:bCs/>
          <w:lang w:val="de-DE"/>
        </w:rPr>
        <w:t xml:space="preserve"> politische Entscheidungsträger die Vielfalt der </w:t>
      </w:r>
      <w:r w:rsidR="00722401" w:rsidRPr="008D121A">
        <w:rPr>
          <w:rFonts w:ascii="HelveticaNeueLT Pro 55 Roman" w:hAnsi="HelveticaNeueLT Pro 55 Roman" w:cs="Calibri"/>
          <w:bCs/>
          <w:lang w:val="de-DE"/>
        </w:rPr>
        <w:t>Tierhaltungspraktiken erkennen</w:t>
      </w:r>
      <w:r w:rsidRPr="008D121A">
        <w:rPr>
          <w:rFonts w:ascii="HelveticaNeueLT Pro 55 Roman" w:hAnsi="HelveticaNeueLT Pro 55 Roman" w:cs="Calibri"/>
          <w:bCs/>
          <w:lang w:val="de-DE"/>
        </w:rPr>
        <w:t xml:space="preserve"> </w:t>
      </w:r>
      <w:r w:rsidRPr="008D121A">
        <w:rPr>
          <w:rFonts w:ascii="HelveticaNeueLT Pro 55 Roman" w:hAnsi="HelveticaNeueLT Pro 55 Roman" w:cs="Calibri"/>
          <w:bCs/>
          <w:lang w:val="de-DE"/>
        </w:rPr>
        <w:lastRenderedPageBreak/>
        <w:t>und nutzen: vom Haltungssystem über Krankheiten bis zur Epidemiologie; von lokal zu global; von institutionellen zu High-Tech-Lösungen;</w:t>
      </w:r>
      <w:r w:rsidR="00257714">
        <w:rPr>
          <w:rFonts w:ascii="HelveticaNeueLT Pro 55 Roman" w:hAnsi="HelveticaNeueLT Pro 55 Roman" w:cs="Calibri"/>
          <w:bCs/>
          <w:lang w:val="de-DE"/>
        </w:rPr>
        <w:t xml:space="preserve"> </w:t>
      </w:r>
      <w:r w:rsidR="00204678" w:rsidRPr="00204678">
        <w:rPr>
          <w:rFonts w:ascii="HelveticaNeueLT Pro 55 Roman" w:hAnsi="HelveticaNeueLT Pro 55 Roman" w:cs="Calibri"/>
          <w:bCs/>
          <w:lang w:val="de-DE"/>
        </w:rPr>
        <w:t>unter Verwendung von Standards und</w:t>
      </w:r>
      <w:r w:rsidR="00AF26F5">
        <w:rPr>
          <w:rFonts w:ascii="HelveticaNeueLT Pro 55 Roman" w:hAnsi="HelveticaNeueLT Pro 55 Roman" w:cs="Calibri"/>
          <w:bCs/>
          <w:lang w:val="de-DE"/>
        </w:rPr>
        <w:t xml:space="preserve"> </w:t>
      </w:r>
      <w:r w:rsidR="00204678" w:rsidRPr="00204678">
        <w:rPr>
          <w:rFonts w:ascii="HelveticaNeueLT Pro 55 Roman" w:hAnsi="HelveticaNeueLT Pro 55 Roman" w:cs="Calibri"/>
          <w:bCs/>
          <w:lang w:val="de-DE"/>
        </w:rPr>
        <w:t>Engagement-</w:t>
      </w:r>
      <w:r w:rsidR="00AF26F5" w:rsidRPr="00204678">
        <w:rPr>
          <w:rFonts w:ascii="HelveticaNeueLT Pro 55 Roman" w:hAnsi="HelveticaNeueLT Pro 55 Roman" w:cs="Calibri"/>
          <w:bCs/>
          <w:lang w:val="de-DE"/>
        </w:rPr>
        <w:t>Anreizen</w:t>
      </w:r>
      <w:r w:rsidR="00AF26F5">
        <w:rPr>
          <w:rFonts w:ascii="HelveticaNeueLT Pro 55 Roman" w:hAnsi="HelveticaNeueLT Pro 55 Roman" w:cs="Calibri"/>
          <w:bCs/>
          <w:lang w:val="de-DE"/>
        </w:rPr>
        <w:t>.</w:t>
      </w:r>
      <w:r w:rsidRPr="008D121A">
        <w:rPr>
          <w:rFonts w:ascii="HelveticaNeueLT Pro 55 Roman" w:hAnsi="HelveticaNeueLT Pro 55 Roman" w:cs="Calibri"/>
          <w:bCs/>
          <w:lang w:val="de-DE"/>
        </w:rPr>
        <w:t xml:space="preserve"> </w:t>
      </w:r>
    </w:p>
    <w:p w14:paraId="67C865AD" w14:textId="4549D2D7" w:rsidR="004147D0" w:rsidRPr="008D121A" w:rsidRDefault="004147D0" w:rsidP="004147D0">
      <w:pPr>
        <w:rPr>
          <w:rFonts w:ascii="HelveticaNeueLT Pro 55 Roman" w:hAnsi="HelveticaNeueLT Pro 55 Roman" w:cs="Calibri"/>
          <w:bCs/>
          <w:lang w:val="de-DE"/>
        </w:rPr>
      </w:pPr>
      <w:r w:rsidRPr="008D121A">
        <w:rPr>
          <w:rFonts w:ascii="HelveticaNeueLT Pro 55 Roman" w:hAnsi="HelveticaNeueLT Pro 55 Roman" w:cs="Calibri"/>
          <w:bCs/>
          <w:lang w:val="de-DE"/>
        </w:rPr>
        <w:t xml:space="preserve">Claire Bury, stellvertretende Generaldirektorin der Direktion für Gesundheit und Lebensmittelsicherheit bei der Europäischen Kommission, </w:t>
      </w:r>
      <w:r w:rsidR="00AF26F5">
        <w:rPr>
          <w:rFonts w:ascii="HelveticaNeueLT Pro 55 Roman" w:hAnsi="HelveticaNeueLT Pro 55 Roman" w:cs="Calibri"/>
          <w:bCs/>
          <w:lang w:val="de-DE"/>
        </w:rPr>
        <w:t>sagt</w:t>
      </w:r>
      <w:r w:rsidR="00E92FC7">
        <w:rPr>
          <w:rFonts w:ascii="HelveticaNeueLT Pro 55 Roman" w:hAnsi="HelveticaNeueLT Pro 55 Roman" w:cs="Calibri"/>
          <w:bCs/>
          <w:lang w:val="de-DE"/>
        </w:rPr>
        <w:t>e</w:t>
      </w:r>
      <w:r w:rsidR="00AF26F5">
        <w:rPr>
          <w:rFonts w:ascii="HelveticaNeueLT Pro 55 Roman" w:hAnsi="HelveticaNeueLT Pro 55 Roman" w:cs="Calibri"/>
          <w:bCs/>
          <w:lang w:val="de-DE"/>
        </w:rPr>
        <w:t xml:space="preserve"> in ihrer Reaktion auf die vorgestellten Überlegungen</w:t>
      </w:r>
      <w:r w:rsidRPr="008D121A">
        <w:rPr>
          <w:rFonts w:ascii="HelveticaNeueLT Pro 55 Roman" w:hAnsi="HelveticaNeueLT Pro 55 Roman" w:cs="Calibri"/>
          <w:bCs/>
          <w:lang w:val="de-DE"/>
        </w:rPr>
        <w:t>: „Im Rahmen des Europäischen Green Deal und der Farm-</w:t>
      </w:r>
      <w:proofErr w:type="spellStart"/>
      <w:r w:rsidRPr="008D121A">
        <w:rPr>
          <w:rFonts w:ascii="HelveticaNeueLT Pro 55 Roman" w:hAnsi="HelveticaNeueLT Pro 55 Roman" w:cs="Calibri"/>
          <w:bCs/>
          <w:lang w:val="de-DE"/>
        </w:rPr>
        <w:t>to</w:t>
      </w:r>
      <w:proofErr w:type="spellEnd"/>
      <w:r w:rsidRPr="008D121A">
        <w:rPr>
          <w:rFonts w:ascii="HelveticaNeueLT Pro 55 Roman" w:hAnsi="HelveticaNeueLT Pro 55 Roman" w:cs="Calibri"/>
          <w:bCs/>
          <w:lang w:val="de-DE"/>
        </w:rPr>
        <w:t xml:space="preserve">-Fork-Strategie wird die EU aktiv </w:t>
      </w:r>
      <w:r w:rsidR="00AF26F5">
        <w:rPr>
          <w:rFonts w:ascii="HelveticaNeueLT Pro 55 Roman" w:hAnsi="HelveticaNeueLT Pro 55 Roman" w:cs="Calibri"/>
          <w:bCs/>
          <w:lang w:val="de-DE"/>
        </w:rPr>
        <w:t xml:space="preserve">beitragen </w:t>
      </w:r>
      <w:r w:rsidRPr="008D121A">
        <w:rPr>
          <w:rFonts w:ascii="HelveticaNeueLT Pro 55 Roman" w:hAnsi="HelveticaNeueLT Pro 55 Roman" w:cs="Calibri"/>
          <w:bCs/>
          <w:lang w:val="de-DE"/>
        </w:rPr>
        <w:t xml:space="preserve">zum globalen Übergang hin zu einer nachhaltigen Landwirtschaft </w:t>
      </w:r>
      <w:r w:rsidR="00AF26F5">
        <w:rPr>
          <w:rFonts w:ascii="HelveticaNeueLT Pro 55 Roman" w:hAnsi="HelveticaNeueLT Pro 55 Roman" w:cs="Calibri"/>
          <w:bCs/>
          <w:lang w:val="de-DE"/>
        </w:rPr>
        <w:t>und</w:t>
      </w:r>
      <w:r w:rsidRPr="008D121A">
        <w:rPr>
          <w:rFonts w:ascii="HelveticaNeueLT Pro 55 Roman" w:hAnsi="HelveticaNeueLT Pro 55 Roman" w:cs="Calibri"/>
          <w:bCs/>
          <w:lang w:val="de-DE"/>
        </w:rPr>
        <w:t xml:space="preserve"> Nahrungsmittelsysteme</w:t>
      </w:r>
      <w:r w:rsidR="00AF26F5">
        <w:rPr>
          <w:rFonts w:ascii="HelveticaNeueLT Pro 55 Roman" w:hAnsi="HelveticaNeueLT Pro 55 Roman" w:cs="Calibri"/>
          <w:bCs/>
          <w:lang w:val="de-DE"/>
        </w:rPr>
        <w:t>n</w:t>
      </w:r>
      <w:r w:rsidRPr="008D121A">
        <w:rPr>
          <w:rFonts w:ascii="HelveticaNeueLT Pro 55 Roman" w:hAnsi="HelveticaNeueLT Pro 55 Roman" w:cs="Calibri"/>
          <w:bCs/>
          <w:lang w:val="de-DE"/>
        </w:rPr>
        <w:t xml:space="preserve"> im Einklang mit den strategischen Entwicklungszielen der Vereinten Nationen. Dies schließt Maßnahmen zur Tiergesundheit und zum Tierschutz ein, die dazu beitragen, die Widerstandsfähigkeit </w:t>
      </w:r>
      <w:r w:rsidR="0035756B" w:rsidRPr="008D121A">
        <w:rPr>
          <w:rFonts w:ascii="HelveticaNeueLT Pro 55 Roman" w:hAnsi="HelveticaNeueLT Pro 55 Roman" w:cs="Calibri"/>
          <w:bCs/>
          <w:lang w:val="de-DE"/>
        </w:rPr>
        <w:t xml:space="preserve">[der Systeme] </w:t>
      </w:r>
      <w:r w:rsidRPr="008D121A">
        <w:rPr>
          <w:rFonts w:ascii="HelveticaNeueLT Pro 55 Roman" w:hAnsi="HelveticaNeueLT Pro 55 Roman" w:cs="Calibri"/>
          <w:bCs/>
          <w:lang w:val="de-DE"/>
        </w:rPr>
        <w:t>zu stärken und mögliche zukünftige Pandemien zu verhindern.“</w:t>
      </w:r>
    </w:p>
    <w:p w14:paraId="3A88656D" w14:textId="037614A8" w:rsidR="000B7BCA" w:rsidRPr="0035756B" w:rsidRDefault="00AF26F5" w:rsidP="001C3550">
      <w:pPr>
        <w:rPr>
          <w:rFonts w:ascii="Calibri" w:hAnsi="Calibri" w:cs="Calibri"/>
          <w:bCs/>
          <w:i/>
          <w:iCs/>
          <w:sz w:val="28"/>
          <w:szCs w:val="28"/>
          <w:lang w:val="de-DE"/>
        </w:rPr>
      </w:pPr>
      <w:r w:rsidRPr="00AF26F5">
        <w:rPr>
          <w:rFonts w:ascii="HelveticaNeueLT Pro 55 Roman" w:hAnsi="HelveticaNeueLT Pro 55 Roman" w:cs="Calibri"/>
          <w:bCs/>
          <w:lang w:val="de-DE"/>
        </w:rPr>
        <w:t xml:space="preserve">Die Diskussion machte deutlich, wie der Wechsel von Gesprächen auf "hoher Ebene" zur Analyse von Daten, die zur Entwicklung nationaler Aktionspläne genutzt werden können, zu messbaren </w:t>
      </w:r>
      <w:r>
        <w:rPr>
          <w:rFonts w:ascii="HelveticaNeueLT Pro 55 Roman" w:hAnsi="HelveticaNeueLT Pro 55 Roman" w:cs="Calibri"/>
          <w:bCs/>
          <w:lang w:val="de-DE"/>
        </w:rPr>
        <w:t xml:space="preserve">Verbesserungen der </w:t>
      </w:r>
      <w:r w:rsidRPr="00AF26F5">
        <w:rPr>
          <w:rFonts w:ascii="HelveticaNeueLT Pro 55 Roman" w:hAnsi="HelveticaNeueLT Pro 55 Roman" w:cs="Calibri"/>
          <w:bCs/>
          <w:lang w:val="de-DE"/>
        </w:rPr>
        <w:t>Nachhaltigkeit führen kann. Dies kann die Bemühungen zur Erreichung der SDGs, des Europäischen Green Deals und letztlich zum Aufbau eines widerstandsfähigeren globalen Lebensmittelsystems deutlich voranbringen.</w:t>
      </w:r>
      <w:r>
        <w:rPr>
          <w:rFonts w:ascii="HelveticaNeueLT Pro 55 Roman" w:hAnsi="HelveticaNeueLT Pro 55 Roman" w:cs="Calibri"/>
          <w:bCs/>
          <w:lang w:val="de-DE"/>
        </w:rPr>
        <w:t xml:space="preserve"> </w:t>
      </w:r>
      <w:r w:rsidRPr="008D121A">
        <w:rPr>
          <w:rFonts w:ascii="HelveticaNeueLT Pro 55 Roman" w:hAnsi="HelveticaNeueLT Pro 55 Roman" w:cs="Calibri"/>
          <w:bCs/>
          <w:lang w:val="de-DE"/>
        </w:rPr>
        <w:t>Größere</w:t>
      </w:r>
      <w:r>
        <w:rPr>
          <w:rFonts w:ascii="HelveticaNeueLT Pro 55 Roman" w:hAnsi="HelveticaNeueLT Pro 55 Roman" w:cs="Calibri"/>
          <w:bCs/>
          <w:lang w:val="de-DE"/>
        </w:rPr>
        <w:t xml:space="preserve"> </w:t>
      </w:r>
      <w:r w:rsidRPr="008D121A">
        <w:rPr>
          <w:rFonts w:ascii="HelveticaNeueLT Pro 55 Roman" w:hAnsi="HelveticaNeueLT Pro 55 Roman" w:cs="Calibri"/>
          <w:bCs/>
          <w:lang w:val="de-DE"/>
        </w:rPr>
        <w:t>Investitionen</w:t>
      </w:r>
      <w:r w:rsidR="0035756B" w:rsidRPr="008D121A">
        <w:rPr>
          <w:rFonts w:ascii="HelveticaNeueLT Pro 55 Roman" w:hAnsi="HelveticaNeueLT Pro 55 Roman" w:cs="Calibri"/>
          <w:bCs/>
          <w:lang w:val="de-DE"/>
        </w:rPr>
        <w:t xml:space="preserve"> in die Nachhaltigkeitsforschung und die Überwachung von Krankheiten </w:t>
      </w:r>
      <w:r w:rsidR="00BA0DF6">
        <w:rPr>
          <w:rFonts w:ascii="HelveticaNeueLT Pro 55 Roman" w:hAnsi="HelveticaNeueLT Pro 55 Roman" w:cs="Calibri"/>
          <w:bCs/>
          <w:lang w:val="de-DE"/>
        </w:rPr>
        <w:t>seien</w:t>
      </w:r>
      <w:r w:rsidR="00BA0DF6" w:rsidRPr="008D121A">
        <w:rPr>
          <w:rFonts w:ascii="HelveticaNeueLT Pro 55 Roman" w:hAnsi="HelveticaNeueLT Pro 55 Roman" w:cs="Calibri"/>
          <w:bCs/>
          <w:lang w:val="de-DE"/>
        </w:rPr>
        <w:t xml:space="preserve"> </w:t>
      </w:r>
      <w:r w:rsidR="0035756B" w:rsidRPr="008D121A">
        <w:rPr>
          <w:rFonts w:ascii="HelveticaNeueLT Pro 55 Roman" w:hAnsi="HelveticaNeueLT Pro 55 Roman" w:cs="Calibri"/>
          <w:bCs/>
          <w:lang w:val="de-DE"/>
        </w:rPr>
        <w:t xml:space="preserve">ebenso erforderlich wie </w:t>
      </w:r>
      <w:r w:rsidR="00BA0DF6">
        <w:rPr>
          <w:rFonts w:ascii="HelveticaNeueLT Pro 55 Roman" w:hAnsi="HelveticaNeueLT Pro 55 Roman" w:cs="Calibri"/>
          <w:bCs/>
          <w:lang w:val="de-DE"/>
        </w:rPr>
        <w:t xml:space="preserve">Investitionen </w:t>
      </w:r>
      <w:r w:rsidR="0035756B" w:rsidRPr="008D121A">
        <w:rPr>
          <w:rFonts w:ascii="HelveticaNeueLT Pro 55 Roman" w:hAnsi="HelveticaNeueLT Pro 55 Roman" w:cs="Calibri"/>
          <w:bCs/>
          <w:lang w:val="de-DE"/>
        </w:rPr>
        <w:t>in die Förderung des Herdengesundheitsmanagements und den Zugang zu den erforderlichen Instrumenten zur Unterstützung der Tiergesundheit.</w:t>
      </w:r>
    </w:p>
    <w:p w14:paraId="4AC1CCB9" w14:textId="77777777" w:rsidR="000B7BCA" w:rsidRPr="000B7BCA" w:rsidRDefault="000B7BCA" w:rsidP="001C3550">
      <w:pPr>
        <w:rPr>
          <w:rFonts w:ascii="Calibri" w:hAnsi="Calibri" w:cs="Calibri"/>
          <w:b/>
          <w:i/>
          <w:iCs/>
          <w:sz w:val="28"/>
          <w:szCs w:val="28"/>
          <w:lang w:val="de-DE"/>
        </w:rPr>
      </w:pPr>
    </w:p>
    <w:p w14:paraId="38BDB599" w14:textId="4E6DF28F" w:rsidR="00862BA1" w:rsidRPr="00C350FF" w:rsidRDefault="00862BA1" w:rsidP="00862BA1">
      <w:pPr>
        <w:rPr>
          <w:rFonts w:ascii="HelveticaNeueLT Pro 55 Roman" w:eastAsia="Helvetica Neue" w:hAnsi="HelveticaNeueLT Pro 55 Roman" w:cs="Helvetica Neue"/>
          <w:b/>
          <w:lang w:val="de-DE"/>
        </w:rPr>
      </w:pPr>
      <w:r w:rsidRPr="00C350FF">
        <w:rPr>
          <w:rFonts w:ascii="HelveticaNeueLT Pro 55 Roman" w:eastAsia="Helvetica Neue" w:hAnsi="HelveticaNeueLT Pro 55 Roman" w:cs="Helvetica Neue"/>
          <w:b/>
          <w:lang w:val="de-DE"/>
        </w:rPr>
        <w:t>Über die Organisatoren:</w:t>
      </w:r>
    </w:p>
    <w:p w14:paraId="727AE018" w14:textId="7764AC0C" w:rsidR="00257714" w:rsidRDefault="00862BA1" w:rsidP="00862BA1">
      <w:pPr>
        <w:rPr>
          <w:rFonts w:ascii="HelveticaNeueLT Pro 55 Roman" w:eastAsia="Helvetica Neue" w:hAnsi="HelveticaNeueLT Pro 55 Roman" w:cs="Helvetica Neue"/>
          <w:lang w:val="de-DE"/>
        </w:rPr>
      </w:pPr>
      <w:r w:rsidRPr="00C350FF">
        <w:rPr>
          <w:rFonts w:ascii="HelveticaNeueLT Pro 55 Roman" w:eastAsia="Helvetica Neue" w:hAnsi="HelveticaNeueLT Pro 55 Roman" w:cs="Helvetica Neue"/>
          <w:b/>
          <w:lang w:val="de-DE"/>
        </w:rPr>
        <w:t xml:space="preserve">HealthforAnimals </w:t>
      </w:r>
      <w:r w:rsidRPr="00C350FF">
        <w:rPr>
          <w:rFonts w:ascii="HelveticaNeueLT Pro 55 Roman" w:eastAsia="Helvetica Neue" w:hAnsi="HelveticaNeueLT Pro 55 Roman" w:cs="Helvetica Neue"/>
          <w:lang w:val="de-DE"/>
        </w:rPr>
        <w:t>ist der Verband, der die Tierarzneimittelindustrie auf globaler Ebene vertritt. Zu seinen Mitgliedern zählen die weltweit größten Tiergesundheitsunternehmen sowie nationale Verbände in Industrie- und Entwicklungsländern auf fünf Kontinenten.</w:t>
      </w:r>
      <w:r w:rsidR="00257714">
        <w:rPr>
          <w:rFonts w:ascii="HelveticaNeueLT Pro 55 Roman" w:eastAsia="Helvetica Neue" w:hAnsi="HelveticaNeueLT Pro 55 Roman" w:cs="Helvetica Neue"/>
          <w:lang w:val="de-DE"/>
        </w:rPr>
        <w:t xml:space="preserve"> </w:t>
      </w:r>
      <w:hyperlink r:id="rId7" w:history="1">
        <w:r w:rsidR="00C350FF" w:rsidRPr="00F32098">
          <w:rPr>
            <w:rStyle w:val="Hyperlink"/>
            <w:rFonts w:ascii="HelveticaNeueLT Pro 55 Roman" w:eastAsia="Helvetica Neue" w:hAnsi="HelveticaNeueLT Pro 55 Roman" w:cs="Helvetica Neue"/>
            <w:lang w:val="de-DE"/>
          </w:rPr>
          <w:t>www.</w:t>
        </w:r>
        <w:r w:rsidR="00C350FF" w:rsidRPr="00F32098">
          <w:rPr>
            <w:rStyle w:val="Hyperlink"/>
            <w:rFonts w:ascii="HelveticaNeueLT Pro 55 Roman" w:eastAsia="Helvetica Neue" w:hAnsi="HelveticaNeueLT Pro 55 Roman" w:cs="Helvetica Neue"/>
            <w:lang w:val="de-DE"/>
          </w:rPr>
          <w:t>healthforanimals.org</w:t>
        </w:r>
      </w:hyperlink>
    </w:p>
    <w:p w14:paraId="57010EF0" w14:textId="77777777" w:rsidR="00C350FF" w:rsidRDefault="00C350FF" w:rsidP="00862BA1">
      <w:pPr>
        <w:rPr>
          <w:rFonts w:ascii="HelveticaNeueLT Pro 55 Roman" w:eastAsia="Helvetica Neue" w:hAnsi="HelveticaNeueLT Pro 55 Roman" w:cs="Helvetica Neue"/>
          <w:lang w:val="de-DE"/>
        </w:rPr>
      </w:pPr>
    </w:p>
    <w:p w14:paraId="23CA19A9" w14:textId="5AD9FA50" w:rsidR="00862BA1" w:rsidRDefault="00862BA1" w:rsidP="00862BA1">
      <w:pPr>
        <w:rPr>
          <w:rFonts w:ascii="HelveticaNeueLT Pro 55 Roman" w:eastAsia="Helvetica Neue" w:hAnsi="HelveticaNeueLT Pro 55 Roman" w:cs="Helvetica Neue"/>
          <w:lang w:val="de-DE"/>
        </w:rPr>
      </w:pPr>
      <w:r w:rsidRPr="00C350FF">
        <w:rPr>
          <w:rFonts w:ascii="HelveticaNeueLT Pro 55 Roman" w:eastAsia="Helvetica Neue" w:hAnsi="HelveticaNeueLT Pro 55 Roman" w:cs="Helvetica Neue"/>
          <w:b/>
          <w:lang w:val="de-DE"/>
        </w:rPr>
        <w:t>AnimalhealthEurope</w:t>
      </w:r>
      <w:r w:rsidRPr="00C350FF">
        <w:rPr>
          <w:rFonts w:ascii="HelveticaNeueLT Pro 55 Roman" w:eastAsia="Helvetica Neue" w:hAnsi="HelveticaNeueLT Pro 55 Roman" w:cs="Helvetica Neue"/>
          <w:lang w:val="de-DE"/>
        </w:rPr>
        <w:t xml:space="preserve"> vertritt die Tierarzneimittelindustrie auf europäischer Ebene. Der Verband vertritt sowohl Innovatoren als auch Generika. Zu seinen Mitgliedern zählen sowohl Unternehmen als auch nationale Verbände, die rund 90 % des europäischen Marktes für Tierarzneimittel abdecken. </w:t>
      </w:r>
      <w:hyperlink r:id="rId8" w:history="1">
        <w:r w:rsidR="00C350FF" w:rsidRPr="00F32098">
          <w:rPr>
            <w:rStyle w:val="Hyperlink"/>
            <w:rFonts w:ascii="HelveticaNeueLT Pro 55 Roman" w:eastAsia="Helvetica Neue" w:hAnsi="HelveticaNeueLT Pro 55 Roman" w:cs="Helvetica Neue"/>
            <w:lang w:val="de-DE"/>
          </w:rPr>
          <w:t>www.animalhealtheurope.eu</w:t>
        </w:r>
      </w:hyperlink>
    </w:p>
    <w:p w14:paraId="7BFC4884" w14:textId="77777777" w:rsidR="00C350FF" w:rsidRPr="00C350FF" w:rsidRDefault="00C350FF" w:rsidP="00862BA1">
      <w:pPr>
        <w:rPr>
          <w:rFonts w:ascii="HelveticaNeueLT Pro 55 Roman" w:eastAsia="Helvetica Neue" w:hAnsi="HelveticaNeueLT Pro 55 Roman" w:cs="Helvetica Neue"/>
          <w:lang w:val="de-DE"/>
        </w:rPr>
      </w:pPr>
    </w:p>
    <w:p w14:paraId="1471EFC1" w14:textId="5E972585" w:rsidR="00862BA1" w:rsidRPr="00C350FF" w:rsidRDefault="00862BA1" w:rsidP="00862BA1">
      <w:pPr>
        <w:rPr>
          <w:rFonts w:ascii="HelveticaNeueLT Pro 55 Roman" w:eastAsia="Helvetica Neue" w:hAnsi="HelveticaNeueLT Pro 55 Roman" w:cs="Helvetica Neue"/>
          <w:lang w:val="de-DE"/>
        </w:rPr>
      </w:pPr>
      <w:r w:rsidRPr="00C350FF">
        <w:rPr>
          <w:rFonts w:ascii="HelveticaNeueLT Pro 55 Roman" w:eastAsia="Helvetica Neue" w:hAnsi="HelveticaNeueLT Pro 55 Roman" w:cs="Helvetica Neue"/>
          <w:b/>
          <w:lang w:val="de-DE"/>
        </w:rPr>
        <w:t xml:space="preserve">Der Bundesverband für Tiergesundheit </w:t>
      </w:r>
      <w:r w:rsidRPr="00C350FF">
        <w:rPr>
          <w:rFonts w:ascii="HelveticaNeueLT Pro 55 Roman" w:eastAsia="Helvetica Neue" w:hAnsi="HelveticaNeueLT Pro 55 Roman" w:cs="Helvetica Neue"/>
          <w:lang w:val="de-DE"/>
        </w:rPr>
        <w:t>vertritt die Tierarzneimittelindustrie in Deutschland und deckt mit 22 Mitgliedern rund 95 % des deutschen Marktes für Tiergesundheitsprodukte ab.</w:t>
      </w:r>
      <w:r w:rsidRPr="00C350FF">
        <w:rPr>
          <w:rFonts w:ascii="HelveticaNeueLT Pro 55 Roman" w:eastAsia="Helvetica Neue" w:hAnsi="HelveticaNeueLT Pro 55 Roman" w:cs="Helvetica Neue"/>
          <w:b/>
          <w:lang w:val="de-DE"/>
        </w:rPr>
        <w:t xml:space="preserve"> </w:t>
      </w:r>
      <w:hyperlink r:id="rId9">
        <w:r w:rsidRPr="00C350FF">
          <w:rPr>
            <w:rFonts w:ascii="HelveticaNeueLT Pro 55 Roman" w:eastAsia="Helvetica Neue" w:hAnsi="HelveticaNeueLT Pro 55 Roman" w:cs="Helvetica Neue"/>
            <w:color w:val="0563C1"/>
            <w:u w:val="single"/>
            <w:lang w:val="de-DE"/>
          </w:rPr>
          <w:t>www.bft-online.de</w:t>
        </w:r>
      </w:hyperlink>
      <w:r w:rsidRPr="00C350FF">
        <w:rPr>
          <w:rFonts w:ascii="HelveticaNeueLT Pro 55 Roman" w:eastAsia="Helvetica Neue" w:hAnsi="HelveticaNeueLT Pro 55 Roman" w:cs="Helvetica Neue"/>
          <w:lang w:val="de-DE"/>
        </w:rPr>
        <w:t xml:space="preserve"> </w:t>
      </w:r>
    </w:p>
    <w:p w14:paraId="49D32048" w14:textId="77777777" w:rsidR="00862BA1" w:rsidRPr="00C350FF" w:rsidRDefault="00862BA1" w:rsidP="00862BA1">
      <w:pPr>
        <w:rPr>
          <w:lang w:val="de-DE"/>
        </w:rPr>
      </w:pPr>
    </w:p>
    <w:p w14:paraId="2CC3F3E4" w14:textId="68711A82" w:rsidR="00862BA1" w:rsidRPr="00C350FF" w:rsidRDefault="00862BA1" w:rsidP="00862BA1">
      <w:pPr>
        <w:spacing w:line="240" w:lineRule="auto"/>
        <w:rPr>
          <w:rFonts w:ascii="HelveticaNeueLT Pro 55 Roman" w:hAnsi="HelveticaNeueLT Pro 55 Roman"/>
          <w:b/>
          <w:bCs/>
          <w:lang w:val="de-DE"/>
        </w:rPr>
      </w:pPr>
      <w:r w:rsidRPr="00C350FF">
        <w:rPr>
          <w:rFonts w:ascii="HelveticaNeueLT Pro 55 Roman" w:hAnsi="HelveticaNeueLT Pro 55 Roman"/>
          <w:b/>
          <w:bCs/>
          <w:lang w:val="de-DE"/>
        </w:rPr>
        <w:t xml:space="preserve">Weitere Informationen: </w:t>
      </w:r>
    </w:p>
    <w:p w14:paraId="438A5561" w14:textId="04AE461A" w:rsidR="00862BA1" w:rsidRPr="00C350FF" w:rsidRDefault="00862BA1" w:rsidP="009E7A82">
      <w:pPr>
        <w:spacing w:after="0" w:line="240" w:lineRule="auto"/>
        <w:rPr>
          <w:rFonts w:ascii="HelveticaNeueLT Pro 55 Roman" w:hAnsi="HelveticaNeueLT Pro 55 Roman"/>
          <w:lang w:val="de-DE"/>
        </w:rPr>
      </w:pPr>
      <w:r w:rsidRPr="00C350FF">
        <w:rPr>
          <w:rFonts w:ascii="HelveticaNeueLT Pro 55 Roman" w:hAnsi="HelveticaNeueLT Pro 55 Roman"/>
          <w:lang w:val="de-DE"/>
        </w:rPr>
        <w:t>Bundesverband für Tiergesundheit e.V.</w:t>
      </w:r>
    </w:p>
    <w:p w14:paraId="2CFA414E" w14:textId="77777777" w:rsidR="00862BA1" w:rsidRPr="00C350FF" w:rsidRDefault="00862BA1" w:rsidP="009E7A82">
      <w:pPr>
        <w:spacing w:after="0" w:line="240" w:lineRule="auto"/>
        <w:rPr>
          <w:rFonts w:ascii="HelveticaNeueLT Pro 55 Roman" w:hAnsi="HelveticaNeueLT Pro 55 Roman"/>
          <w:lang w:val="de-DE"/>
        </w:rPr>
      </w:pPr>
      <w:r w:rsidRPr="00C350FF">
        <w:rPr>
          <w:rFonts w:ascii="HelveticaNeueLT Pro 55 Roman" w:hAnsi="HelveticaNeueLT Pro 55 Roman"/>
          <w:lang w:val="de-DE"/>
        </w:rPr>
        <w:t xml:space="preserve">Dr. Sabine Schüller, Schwertberger Str. 14,53177 Bonn, </w:t>
      </w:r>
    </w:p>
    <w:p w14:paraId="28AB0E9B" w14:textId="5DE63BC8" w:rsidR="00862BA1" w:rsidRPr="00C350FF" w:rsidRDefault="00862BA1" w:rsidP="009E7A82">
      <w:pPr>
        <w:spacing w:after="0" w:line="240" w:lineRule="auto"/>
        <w:rPr>
          <w:rFonts w:ascii="HelveticaNeueLT Pro 55 Roman" w:hAnsi="HelveticaNeueLT Pro 55 Roman"/>
          <w:lang w:val="de-DE"/>
        </w:rPr>
      </w:pPr>
      <w:r w:rsidRPr="00C350FF">
        <w:rPr>
          <w:rFonts w:ascii="HelveticaNeueLT Pro 55 Roman" w:hAnsi="HelveticaNeueLT Pro 55 Roman"/>
          <w:lang w:val="de-DE"/>
        </w:rPr>
        <w:lastRenderedPageBreak/>
        <w:t>Tel. 0228 / 31 82 96, E-Mail bft@bft-online.de</w:t>
      </w:r>
      <w:r w:rsidR="009E7A82" w:rsidRPr="00C350FF">
        <w:rPr>
          <w:rFonts w:ascii="HelveticaNeueLT Pro 55 Roman" w:hAnsi="HelveticaNeueLT Pro 55 Roman"/>
          <w:lang w:val="de-DE"/>
        </w:rPr>
        <w:t xml:space="preserve"> </w:t>
      </w:r>
      <w:r w:rsidRPr="00C350FF">
        <w:rPr>
          <w:rFonts w:ascii="HelveticaNeueLT Pro 55 Roman" w:hAnsi="HelveticaNeueLT Pro 55 Roman"/>
          <w:lang w:val="de-DE"/>
        </w:rPr>
        <w:br/>
      </w:r>
    </w:p>
    <w:p w14:paraId="5B0A9639" w14:textId="77777777" w:rsidR="00862BA1" w:rsidRPr="009E7A82" w:rsidRDefault="00862BA1" w:rsidP="009E7A82">
      <w:pPr>
        <w:spacing w:after="0" w:line="240" w:lineRule="auto"/>
        <w:rPr>
          <w:rFonts w:ascii="HelveticaNeueLT Pro 55 Roman" w:hAnsi="HelveticaNeueLT Pro 55 Roman"/>
        </w:rPr>
      </w:pPr>
      <w:r w:rsidRPr="009E7A82">
        <w:rPr>
          <w:rFonts w:ascii="HelveticaNeueLT Pro 55 Roman" w:hAnsi="HelveticaNeueLT Pro 55 Roman"/>
        </w:rPr>
        <w:t>AnimalhealthEurope</w:t>
      </w:r>
    </w:p>
    <w:p w14:paraId="60392954" w14:textId="381A10FD" w:rsidR="00862BA1" w:rsidRPr="009E7A82" w:rsidRDefault="00EE2D2E" w:rsidP="009E7A82">
      <w:pPr>
        <w:spacing w:after="0" w:line="240" w:lineRule="auto"/>
        <w:rPr>
          <w:rFonts w:ascii="HelveticaNeueLT Pro 55 Roman" w:hAnsi="HelveticaNeueLT Pro 55 Roman"/>
        </w:rPr>
      </w:pPr>
      <w:r w:rsidRPr="009E7A82">
        <w:rPr>
          <w:rFonts w:ascii="HelveticaNeueLT Pro 55 Roman" w:hAnsi="HelveticaNeueLT Pro 55 Roman"/>
        </w:rPr>
        <w:t>Clare Carlisle, Communications Manager</w:t>
      </w:r>
    </w:p>
    <w:p w14:paraId="5402E6C0" w14:textId="036086E6" w:rsidR="00077D36" w:rsidRPr="009E7A82" w:rsidRDefault="00EE2D2E" w:rsidP="009E7A82">
      <w:pPr>
        <w:spacing w:after="0" w:line="240" w:lineRule="auto"/>
        <w:rPr>
          <w:rFonts w:ascii="HelveticaNeueLT Pro 55 Roman" w:hAnsi="HelveticaNeueLT Pro 55 Roman"/>
        </w:rPr>
      </w:pPr>
      <w:r w:rsidRPr="009E7A82">
        <w:rPr>
          <w:rFonts w:ascii="HelveticaNeueLT Pro 55 Roman" w:hAnsi="HelveticaNeueLT Pro 55 Roman"/>
        </w:rPr>
        <w:t>c.carlisle@animalhealtheurope.eu - +32 474 388711</w:t>
      </w:r>
      <w:r w:rsidR="009E7A82" w:rsidRPr="009E7A82">
        <w:rPr>
          <w:rFonts w:ascii="HelveticaNeueLT Pro 55 Roman" w:hAnsi="HelveticaNeueLT Pro 55 Roman"/>
        </w:rPr>
        <w:t xml:space="preserve"> </w:t>
      </w:r>
    </w:p>
    <w:sectPr w:rsidR="00077D36" w:rsidRPr="009E7A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514BE" w14:textId="77777777" w:rsidR="00B355D1" w:rsidRDefault="00B355D1" w:rsidP="00EC4A64">
      <w:pPr>
        <w:spacing w:after="0" w:line="240" w:lineRule="auto"/>
      </w:pPr>
      <w:r>
        <w:separator/>
      </w:r>
    </w:p>
  </w:endnote>
  <w:endnote w:type="continuationSeparator" w:id="0">
    <w:p w14:paraId="37892DC1" w14:textId="77777777" w:rsidR="00B355D1" w:rsidRDefault="00B355D1" w:rsidP="00EC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panose1 w:val="020B0604020202020204"/>
    <w:charset w:val="00"/>
    <w:family w:val="swiss"/>
    <w:pitch w:val="variable"/>
    <w:sig w:usb0="A00000AF" w:usb1="5000204A" w:usb2="00000000" w:usb3="00000000" w:csb0="00000093"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C32ED" w14:textId="77777777" w:rsidR="00B355D1" w:rsidRDefault="00B355D1" w:rsidP="00EC4A64">
      <w:pPr>
        <w:spacing w:after="0" w:line="240" w:lineRule="auto"/>
      </w:pPr>
      <w:r>
        <w:separator/>
      </w:r>
    </w:p>
  </w:footnote>
  <w:footnote w:type="continuationSeparator" w:id="0">
    <w:p w14:paraId="61781E85" w14:textId="77777777" w:rsidR="00B355D1" w:rsidRDefault="00B355D1" w:rsidP="00EC4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1771" w14:textId="77777777" w:rsidR="00EC4A64" w:rsidRDefault="003C3671">
    <w:pPr>
      <w:pStyle w:val="Kopfzeile"/>
    </w:pPr>
    <w:r w:rsidRPr="00EC4A64">
      <w:rPr>
        <w:noProof/>
      </w:rPr>
      <w:drawing>
        <wp:anchor distT="0" distB="0" distL="114300" distR="114300" simplePos="0" relativeHeight="251660288" behindDoc="0" locked="0" layoutInCell="1" allowOverlap="1" wp14:anchorId="1191D208" wp14:editId="223327EB">
          <wp:simplePos x="0" y="0"/>
          <wp:positionH relativeFrom="column">
            <wp:posOffset>4002405</wp:posOffset>
          </wp:positionH>
          <wp:positionV relativeFrom="paragraph">
            <wp:posOffset>144145</wp:posOffset>
          </wp:positionV>
          <wp:extent cx="1790065" cy="581025"/>
          <wp:effectExtent l="0" t="0" r="635" b="9525"/>
          <wp:wrapNone/>
          <wp:docPr id="24" name="Picture 24" descr="Y:\AnimalhealthEurope\COMMUNICATIONS\Rebrand\Logo proposals\Final logo\animalhealth-europe_with-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AnimalhealthEurope\COMMUNICATIONS\Rebrand\Logo proposals\Final logo\animalhealth-europe_with-payof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0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2E" w:rsidRPr="00EC4A64">
      <w:rPr>
        <w:noProof/>
      </w:rPr>
      <w:drawing>
        <wp:anchor distT="0" distB="0" distL="114300" distR="114300" simplePos="0" relativeHeight="251659264" behindDoc="0" locked="0" layoutInCell="1" allowOverlap="1" wp14:anchorId="1F8F1FE4" wp14:editId="50C7262C">
          <wp:simplePos x="0" y="0"/>
          <wp:positionH relativeFrom="column">
            <wp:posOffset>7620</wp:posOffset>
          </wp:positionH>
          <wp:positionV relativeFrom="paragraph">
            <wp:posOffset>145415</wp:posOffset>
          </wp:positionV>
          <wp:extent cx="1971675" cy="596751"/>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96751"/>
                  </a:xfrm>
                  <a:prstGeom prst="rect">
                    <a:avLst/>
                  </a:prstGeom>
                  <a:noFill/>
                </pic:spPr>
              </pic:pic>
            </a:graphicData>
          </a:graphic>
          <wp14:sizeRelH relativeFrom="page">
            <wp14:pctWidth>0</wp14:pctWidth>
          </wp14:sizeRelH>
          <wp14:sizeRelV relativeFrom="page">
            <wp14:pctHeight>0</wp14:pctHeight>
          </wp14:sizeRelV>
        </wp:anchor>
      </w:drawing>
    </w:r>
  </w:p>
  <w:p w14:paraId="222A4709" w14:textId="5541E3E0" w:rsidR="00EC4A64" w:rsidRDefault="0075463D">
    <w:pPr>
      <w:pStyle w:val="Kopfzeile"/>
    </w:pPr>
    <w:r>
      <w:rPr>
        <w:noProof/>
      </w:rPr>
      <w:drawing>
        <wp:inline distT="0" distB="0" distL="0" distR="0" wp14:anchorId="34549260" wp14:editId="68706478">
          <wp:extent cx="181673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6735" cy="499745"/>
                  </a:xfrm>
                  <a:prstGeom prst="rect">
                    <a:avLst/>
                  </a:prstGeom>
                  <a:noFill/>
                </pic:spPr>
              </pic:pic>
            </a:graphicData>
          </a:graphic>
        </wp:inline>
      </w:drawing>
    </w:r>
    <w:r>
      <w:t xml:space="preserve">            </w:t>
    </w:r>
    <w:r>
      <w:rPr>
        <w:noProof/>
      </w:rPr>
      <w:drawing>
        <wp:inline distT="0" distB="0" distL="0" distR="0" wp14:anchorId="084B4D5B" wp14:editId="42FDA8DB">
          <wp:extent cx="1595755" cy="438958"/>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148" cy="449244"/>
                  </a:xfrm>
                  <a:prstGeom prst="rect">
                    <a:avLst/>
                  </a:prstGeom>
                  <a:noFill/>
                </pic:spPr>
              </pic:pic>
            </a:graphicData>
          </a:graphic>
        </wp:inline>
      </w:drawing>
    </w:r>
  </w:p>
  <w:p w14:paraId="4AF3D6D9" w14:textId="77777777" w:rsidR="00EC4A64" w:rsidRDefault="00EC4A64">
    <w:pPr>
      <w:pStyle w:val="Kopfzeile"/>
    </w:pPr>
  </w:p>
  <w:p w14:paraId="07860D9D" w14:textId="77777777" w:rsidR="00EC4A64" w:rsidRDefault="00EC4A64">
    <w:pPr>
      <w:pStyle w:val="Kopfzeile"/>
    </w:pPr>
  </w:p>
  <w:p w14:paraId="3CC4FE27" w14:textId="77777777" w:rsidR="00EC4A64" w:rsidRDefault="00EC4A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02A8B1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733E61B0"/>
    <w:multiLevelType w:val="hybridMultilevel"/>
    <w:tmpl w:val="2B14EB80"/>
    <w:lvl w:ilvl="0" w:tplc="7E50592A">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355488"/>
    <w:multiLevelType w:val="hybridMultilevel"/>
    <w:tmpl w:val="F58CBC72"/>
    <w:lvl w:ilvl="0" w:tplc="CB6A3F18">
      <w:start w:val="746"/>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50"/>
    <w:rsid w:val="000666BF"/>
    <w:rsid w:val="00072995"/>
    <w:rsid w:val="00077D36"/>
    <w:rsid w:val="000B7BCA"/>
    <w:rsid w:val="00140F23"/>
    <w:rsid w:val="00152EC4"/>
    <w:rsid w:val="001C3550"/>
    <w:rsid w:val="001E781D"/>
    <w:rsid w:val="00204678"/>
    <w:rsid w:val="00222FA6"/>
    <w:rsid w:val="00243FDD"/>
    <w:rsid w:val="00251202"/>
    <w:rsid w:val="00257714"/>
    <w:rsid w:val="002E4839"/>
    <w:rsid w:val="00311612"/>
    <w:rsid w:val="0035756B"/>
    <w:rsid w:val="003775A5"/>
    <w:rsid w:val="003C3671"/>
    <w:rsid w:val="004147D0"/>
    <w:rsid w:val="00444721"/>
    <w:rsid w:val="00460486"/>
    <w:rsid w:val="004A3652"/>
    <w:rsid w:val="00534595"/>
    <w:rsid w:val="005F126C"/>
    <w:rsid w:val="006D0A1B"/>
    <w:rsid w:val="006E16A0"/>
    <w:rsid w:val="00704C36"/>
    <w:rsid w:val="00722401"/>
    <w:rsid w:val="00724D44"/>
    <w:rsid w:val="0075463D"/>
    <w:rsid w:val="00784CA4"/>
    <w:rsid w:val="007B5990"/>
    <w:rsid w:val="00862BA1"/>
    <w:rsid w:val="00867C36"/>
    <w:rsid w:val="00887796"/>
    <w:rsid w:val="008A2E92"/>
    <w:rsid w:val="008B5113"/>
    <w:rsid w:val="008C0A8A"/>
    <w:rsid w:val="008D121A"/>
    <w:rsid w:val="008F76D2"/>
    <w:rsid w:val="009920CA"/>
    <w:rsid w:val="00997F03"/>
    <w:rsid w:val="009C2FEC"/>
    <w:rsid w:val="009D3F43"/>
    <w:rsid w:val="009E7A82"/>
    <w:rsid w:val="00A11EF9"/>
    <w:rsid w:val="00A3188A"/>
    <w:rsid w:val="00AF26F5"/>
    <w:rsid w:val="00B25584"/>
    <w:rsid w:val="00B355D1"/>
    <w:rsid w:val="00BA0DF6"/>
    <w:rsid w:val="00BF601C"/>
    <w:rsid w:val="00C25635"/>
    <w:rsid w:val="00C350FF"/>
    <w:rsid w:val="00C35599"/>
    <w:rsid w:val="00CA23C9"/>
    <w:rsid w:val="00D02DAC"/>
    <w:rsid w:val="00E009C8"/>
    <w:rsid w:val="00E204C0"/>
    <w:rsid w:val="00E92FC7"/>
    <w:rsid w:val="00EC4A64"/>
    <w:rsid w:val="00ED4B87"/>
    <w:rsid w:val="00EE2D2E"/>
    <w:rsid w:val="00F06AE7"/>
    <w:rsid w:val="00F61B73"/>
    <w:rsid w:val="00FF5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3A75F"/>
  <w15:chartTrackingRefBased/>
  <w15:docId w15:val="{4DEF81BC-9595-4EA5-A7E2-51895CB8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mpedfont15">
    <w:name w:val="bumpedfont15"/>
    <w:rsid w:val="001C3550"/>
  </w:style>
  <w:style w:type="paragraph" w:styleId="Kopfzeile">
    <w:name w:val="header"/>
    <w:basedOn w:val="Standard"/>
    <w:link w:val="KopfzeileZchn"/>
    <w:uiPriority w:val="99"/>
    <w:unhideWhenUsed/>
    <w:rsid w:val="00EC4A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4A64"/>
  </w:style>
  <w:style w:type="paragraph" w:styleId="Fuzeile">
    <w:name w:val="footer"/>
    <w:basedOn w:val="Standard"/>
    <w:link w:val="FuzeileZchn"/>
    <w:uiPriority w:val="99"/>
    <w:unhideWhenUsed/>
    <w:rsid w:val="00EC4A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4A64"/>
  </w:style>
  <w:style w:type="character" w:styleId="Hyperlink">
    <w:name w:val="Hyperlink"/>
    <w:basedOn w:val="Absatz-Standardschriftart"/>
    <w:uiPriority w:val="99"/>
    <w:unhideWhenUsed/>
    <w:rsid w:val="00077D36"/>
    <w:rPr>
      <w:color w:val="0563C1"/>
      <w:u w:val="single"/>
    </w:rPr>
  </w:style>
  <w:style w:type="paragraph" w:styleId="Listenabsatz">
    <w:name w:val="List Paragraph"/>
    <w:basedOn w:val="Standard"/>
    <w:uiPriority w:val="34"/>
    <w:qFormat/>
    <w:rsid w:val="00077D36"/>
    <w:pPr>
      <w:ind w:left="720"/>
      <w:contextualSpacing/>
    </w:pPr>
  </w:style>
  <w:style w:type="character" w:styleId="Kommentarzeichen">
    <w:name w:val="annotation reference"/>
    <w:basedOn w:val="Absatz-Standardschriftart"/>
    <w:uiPriority w:val="99"/>
    <w:semiHidden/>
    <w:unhideWhenUsed/>
    <w:rsid w:val="00A11EF9"/>
    <w:rPr>
      <w:sz w:val="16"/>
      <w:szCs w:val="16"/>
    </w:rPr>
  </w:style>
  <w:style w:type="paragraph" w:styleId="Kommentartext">
    <w:name w:val="annotation text"/>
    <w:basedOn w:val="Standard"/>
    <w:link w:val="KommentartextZchn"/>
    <w:uiPriority w:val="99"/>
    <w:semiHidden/>
    <w:unhideWhenUsed/>
    <w:rsid w:val="00A11E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1EF9"/>
    <w:rPr>
      <w:sz w:val="20"/>
      <w:szCs w:val="20"/>
    </w:rPr>
  </w:style>
  <w:style w:type="paragraph" w:styleId="Kommentarthema">
    <w:name w:val="annotation subject"/>
    <w:basedOn w:val="Kommentartext"/>
    <w:next w:val="Kommentartext"/>
    <w:link w:val="KommentarthemaZchn"/>
    <w:uiPriority w:val="99"/>
    <w:semiHidden/>
    <w:unhideWhenUsed/>
    <w:rsid w:val="00A11EF9"/>
    <w:rPr>
      <w:b/>
      <w:bCs/>
    </w:rPr>
  </w:style>
  <w:style w:type="character" w:customStyle="1" w:styleId="KommentarthemaZchn">
    <w:name w:val="Kommentarthema Zchn"/>
    <w:basedOn w:val="KommentartextZchn"/>
    <w:link w:val="Kommentarthema"/>
    <w:uiPriority w:val="99"/>
    <w:semiHidden/>
    <w:rsid w:val="00A11EF9"/>
    <w:rPr>
      <w:b/>
      <w:bCs/>
      <w:sz w:val="20"/>
      <w:szCs w:val="20"/>
    </w:rPr>
  </w:style>
  <w:style w:type="paragraph" w:styleId="Aufzhlungszeichen">
    <w:name w:val="List Bullet"/>
    <w:basedOn w:val="Standard"/>
    <w:uiPriority w:val="99"/>
    <w:unhideWhenUsed/>
    <w:rsid w:val="00D02DAC"/>
    <w:pPr>
      <w:numPr>
        <w:numId w:val="3"/>
      </w:numPr>
      <w:contextualSpacing/>
    </w:pPr>
  </w:style>
  <w:style w:type="character" w:styleId="NichtaufgelsteErwhnung">
    <w:name w:val="Unresolved Mention"/>
    <w:basedOn w:val="Absatz-Standardschriftart"/>
    <w:uiPriority w:val="99"/>
    <w:semiHidden/>
    <w:unhideWhenUsed/>
    <w:rsid w:val="00257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39934">
      <w:bodyDiv w:val="1"/>
      <w:marLeft w:val="0"/>
      <w:marRight w:val="0"/>
      <w:marTop w:val="0"/>
      <w:marBottom w:val="0"/>
      <w:divBdr>
        <w:top w:val="none" w:sz="0" w:space="0" w:color="auto"/>
        <w:left w:val="none" w:sz="0" w:space="0" w:color="auto"/>
        <w:bottom w:val="none" w:sz="0" w:space="0" w:color="auto"/>
        <w:right w:val="none" w:sz="0" w:space="0" w:color="auto"/>
      </w:divBdr>
    </w:div>
    <w:div w:id="653920076">
      <w:bodyDiv w:val="1"/>
      <w:marLeft w:val="0"/>
      <w:marRight w:val="0"/>
      <w:marTop w:val="0"/>
      <w:marBottom w:val="0"/>
      <w:divBdr>
        <w:top w:val="none" w:sz="0" w:space="0" w:color="auto"/>
        <w:left w:val="none" w:sz="0" w:space="0" w:color="auto"/>
        <w:bottom w:val="none" w:sz="0" w:space="0" w:color="auto"/>
        <w:right w:val="none" w:sz="0" w:space="0" w:color="auto"/>
      </w:divBdr>
      <w:divsChild>
        <w:div w:id="1353146706">
          <w:marLeft w:val="0"/>
          <w:marRight w:val="0"/>
          <w:marTop w:val="0"/>
          <w:marBottom w:val="0"/>
          <w:divBdr>
            <w:top w:val="none" w:sz="0" w:space="0" w:color="auto"/>
            <w:left w:val="none" w:sz="0" w:space="0" w:color="auto"/>
            <w:bottom w:val="none" w:sz="0" w:space="0" w:color="auto"/>
            <w:right w:val="none" w:sz="0" w:space="0" w:color="auto"/>
          </w:divBdr>
        </w:div>
      </w:divsChild>
    </w:div>
    <w:div w:id="1690908334">
      <w:bodyDiv w:val="1"/>
      <w:marLeft w:val="0"/>
      <w:marRight w:val="0"/>
      <w:marTop w:val="0"/>
      <w:marBottom w:val="0"/>
      <w:divBdr>
        <w:top w:val="none" w:sz="0" w:space="0" w:color="auto"/>
        <w:left w:val="none" w:sz="0" w:space="0" w:color="auto"/>
        <w:bottom w:val="none" w:sz="0" w:space="0" w:color="auto"/>
        <w:right w:val="none" w:sz="0" w:space="0" w:color="auto"/>
      </w:divBdr>
      <w:divsChild>
        <w:div w:id="1506094366">
          <w:marLeft w:val="0"/>
          <w:marRight w:val="0"/>
          <w:marTop w:val="0"/>
          <w:marBottom w:val="0"/>
          <w:divBdr>
            <w:top w:val="none" w:sz="0" w:space="0" w:color="auto"/>
            <w:left w:val="none" w:sz="0" w:space="0" w:color="auto"/>
            <w:bottom w:val="none" w:sz="0" w:space="0" w:color="auto"/>
            <w:right w:val="none" w:sz="0" w:space="0" w:color="auto"/>
          </w:divBdr>
        </w:div>
      </w:divsChild>
    </w:div>
    <w:div w:id="1825316467">
      <w:bodyDiv w:val="1"/>
      <w:marLeft w:val="0"/>
      <w:marRight w:val="0"/>
      <w:marTop w:val="0"/>
      <w:marBottom w:val="0"/>
      <w:divBdr>
        <w:top w:val="none" w:sz="0" w:space="0" w:color="auto"/>
        <w:left w:val="none" w:sz="0" w:space="0" w:color="auto"/>
        <w:bottom w:val="none" w:sz="0" w:space="0" w:color="auto"/>
        <w:right w:val="none" w:sz="0" w:space="0" w:color="auto"/>
      </w:divBdr>
    </w:div>
    <w:div w:id="1993832960">
      <w:bodyDiv w:val="1"/>
      <w:marLeft w:val="0"/>
      <w:marRight w:val="0"/>
      <w:marTop w:val="0"/>
      <w:marBottom w:val="0"/>
      <w:divBdr>
        <w:top w:val="none" w:sz="0" w:space="0" w:color="auto"/>
        <w:left w:val="none" w:sz="0" w:space="0" w:color="auto"/>
        <w:bottom w:val="none" w:sz="0" w:space="0" w:color="auto"/>
        <w:right w:val="none" w:sz="0" w:space="0" w:color="auto"/>
      </w:divBdr>
    </w:div>
    <w:div w:id="2129543261">
      <w:bodyDiv w:val="1"/>
      <w:marLeft w:val="0"/>
      <w:marRight w:val="0"/>
      <w:marTop w:val="0"/>
      <w:marBottom w:val="0"/>
      <w:divBdr>
        <w:top w:val="none" w:sz="0" w:space="0" w:color="auto"/>
        <w:left w:val="none" w:sz="0" w:space="0" w:color="auto"/>
        <w:bottom w:val="none" w:sz="0" w:space="0" w:color="auto"/>
        <w:right w:val="none" w:sz="0" w:space="0" w:color="auto"/>
      </w:divBdr>
      <w:divsChild>
        <w:div w:id="487020772">
          <w:marLeft w:val="547"/>
          <w:marRight w:val="0"/>
          <w:marTop w:val="200"/>
          <w:marBottom w:val="0"/>
          <w:divBdr>
            <w:top w:val="none" w:sz="0" w:space="0" w:color="auto"/>
            <w:left w:val="none" w:sz="0" w:space="0" w:color="auto"/>
            <w:bottom w:val="none" w:sz="0" w:space="0" w:color="auto"/>
            <w:right w:val="none" w:sz="0" w:space="0" w:color="auto"/>
          </w:divBdr>
        </w:div>
        <w:div w:id="10770530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imalhealtheurope.eu/" TargetMode="External"/><Relationship Id="rId3" Type="http://schemas.openxmlformats.org/officeDocument/2006/relationships/settings" Target="settings.xml"/><Relationship Id="rId7" Type="http://schemas.openxmlformats.org/officeDocument/2006/relationships/hyperlink" Target="http://www.healthforanima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5099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Carlisle</dc:creator>
  <cp:keywords/>
  <dc:description/>
  <cp:lastModifiedBy>Tatjana Hense</cp:lastModifiedBy>
  <cp:revision>2</cp:revision>
  <dcterms:created xsi:type="dcterms:W3CDTF">2021-01-21T11:11:00Z</dcterms:created>
  <dcterms:modified xsi:type="dcterms:W3CDTF">2021-01-21T11:11:00Z</dcterms:modified>
</cp:coreProperties>
</file>