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FA7CD" w14:textId="6725B68F" w:rsidR="008754BE" w:rsidRDefault="008754BE" w:rsidP="000360E2">
      <w:pPr>
        <w:spacing w:line="360" w:lineRule="auto"/>
        <w:rPr>
          <w:rFonts w:ascii="HelveticaNeueLT Pro 55 Roman" w:hAnsi="HelveticaNeueLT Pro 55 Roman"/>
        </w:rPr>
      </w:pPr>
    </w:p>
    <w:p w14:paraId="470C5E10" w14:textId="76EFC28D" w:rsidR="00DC3AA7" w:rsidRDefault="00DC3AA7" w:rsidP="000D1C2F">
      <w:pPr>
        <w:spacing w:after="240" w:line="360" w:lineRule="auto"/>
        <w:rPr>
          <w:rFonts w:ascii="HelveticaNeueLT Pro 55 Roman" w:hAnsi="HelveticaNeueLT Pro 55 Roman"/>
        </w:rPr>
      </w:pPr>
      <w:r w:rsidRPr="00DC3AA7">
        <w:rPr>
          <w:rFonts w:ascii="HelveticaNeueLT Pro 55 Roman" w:eastAsiaTheme="majorEastAsia" w:hAnsi="HelveticaNeueLT Pro 55 Roman" w:cstheme="majorBidi"/>
          <w:b/>
          <w:bCs/>
          <w:color w:val="006D6B"/>
          <w:sz w:val="28"/>
          <w:szCs w:val="28"/>
          <w:lang w:eastAsia="zh-CN"/>
        </w:rPr>
        <w:t>Tierarzneimittelrecht: Aktualisierter Verbandskodex durch Tiergesundheitsunternehmen des BfT als Marktverhaltensregelung anerkannt</w:t>
      </w:r>
    </w:p>
    <w:p w14:paraId="3635412F" w14:textId="77777777" w:rsidR="0008279C" w:rsidRPr="00C60D42" w:rsidRDefault="0008279C" w:rsidP="00C60D42">
      <w:pPr>
        <w:spacing w:line="360" w:lineRule="auto"/>
        <w:jc w:val="both"/>
        <w:rPr>
          <w:rFonts w:ascii="HelveticaNeueLT Pro 55 Roman" w:hAnsi="HelveticaNeueLT Pro 55 Roman"/>
          <w:b/>
          <w:bCs/>
        </w:rPr>
      </w:pPr>
      <w:r w:rsidRPr="00C60D42">
        <w:rPr>
          <w:rFonts w:ascii="HelveticaNeueLT Pro 55 Roman" w:hAnsi="HelveticaNeueLT Pro 55 Roman"/>
          <w:b/>
          <w:bCs/>
        </w:rPr>
        <w:t xml:space="preserve">Anlässlich der Mitgliederversammlung des Bundesverbandes für Tiergesundheit e.V. (BfT) am 06.05.2022 verabschiedeten die Mitglieder des Verbandes aktualisierte Fassungen von Verbandssatzung und -kodex. </w:t>
      </w:r>
    </w:p>
    <w:p w14:paraId="3412891B" w14:textId="77777777" w:rsidR="0008279C" w:rsidRDefault="0008279C" w:rsidP="00C60D42">
      <w:pPr>
        <w:spacing w:line="360" w:lineRule="auto"/>
        <w:jc w:val="both"/>
        <w:rPr>
          <w:rFonts w:ascii="HelveticaNeueLT Pro 55 Roman" w:hAnsi="HelveticaNeueLT Pro 55 Roman"/>
        </w:rPr>
      </w:pPr>
    </w:p>
    <w:p w14:paraId="4622B344" w14:textId="77777777" w:rsidR="0008279C" w:rsidRPr="00C60D42" w:rsidRDefault="0008279C" w:rsidP="00C60D42">
      <w:pPr>
        <w:spacing w:line="360" w:lineRule="auto"/>
        <w:jc w:val="both"/>
        <w:rPr>
          <w:rFonts w:ascii="HelveticaNeueLT Pro 55 Roman" w:hAnsi="HelveticaNeueLT Pro 55 Roman" w:cs="Calibri"/>
        </w:rPr>
      </w:pPr>
      <w:r w:rsidRPr="00C60D42">
        <w:rPr>
          <w:rFonts w:ascii="HelveticaNeueLT Pro 55 Roman" w:hAnsi="HelveticaNeueLT Pro 55 Roman" w:cs="Calibri"/>
        </w:rPr>
        <w:t xml:space="preserve">Die Aktualisierungen reflektieren, dass am 28.01.2022 mit dem neuen nationalen Tierarzneimittelgesetz (TAMG) und der Europäischen Tierarzneimittelverordnung (VO (EU) 2019/6)) bundesweit ein eigenständiges Tierarzneimittelrecht in Kraft getreten ist. </w:t>
      </w:r>
    </w:p>
    <w:p w14:paraId="3C44051B" w14:textId="77777777" w:rsidR="0008279C" w:rsidRPr="00C60D42" w:rsidRDefault="0008279C" w:rsidP="00C60D42">
      <w:pPr>
        <w:spacing w:line="360" w:lineRule="auto"/>
        <w:jc w:val="both"/>
        <w:rPr>
          <w:rFonts w:ascii="HelveticaNeueLT Pro 55 Roman" w:hAnsi="HelveticaNeueLT Pro 55 Roman" w:cs="Calibri"/>
        </w:rPr>
      </w:pPr>
    </w:p>
    <w:p w14:paraId="074B29A9" w14:textId="2E688F64" w:rsidR="0008279C" w:rsidRPr="00C60D42" w:rsidRDefault="0008279C" w:rsidP="00C60D42">
      <w:pPr>
        <w:spacing w:line="360" w:lineRule="auto"/>
        <w:jc w:val="both"/>
        <w:rPr>
          <w:rFonts w:ascii="HelveticaNeueLT Pro 55 Roman" w:hAnsi="HelveticaNeueLT Pro 55 Roman" w:cs="Calibri"/>
        </w:rPr>
      </w:pPr>
      <w:r w:rsidRPr="00C60D42">
        <w:rPr>
          <w:rFonts w:ascii="HelveticaNeueLT Pro 55 Roman" w:hAnsi="HelveticaNeueLT Pro 55 Roman" w:cs="Calibri"/>
        </w:rPr>
        <w:t>In diesem Zusammenhang wurden nicht nur die speziellen Vorschriften für Tierarzneimittel aus dem bisher für Human- und Tierarzneimittel geltenden Arzneimittelgesetz herausgelöst, sondern auch weitere arzneimittelrechtliche Vorschriften sowie die speziellen Regelungen für die Werbung und Interaktion mit Tierärzten an die Situation für Tierarzneimittel angepasst. Neben den speziellen Vorgaben des Tierarzneimittelrechts gelten unverändert die Vorgaben des Antikorruptionsgesetzes im Gesundheitswesen aus 2016 und des Gesetzes gegen den unlauteren Wettbewerb.</w:t>
      </w:r>
    </w:p>
    <w:p w14:paraId="6989E6EC" w14:textId="77777777" w:rsidR="0008279C" w:rsidRPr="00C60D42" w:rsidRDefault="0008279C" w:rsidP="00C60D42">
      <w:pPr>
        <w:spacing w:line="360" w:lineRule="auto"/>
        <w:jc w:val="both"/>
        <w:rPr>
          <w:rFonts w:ascii="HelveticaNeueLT Pro 55 Roman" w:hAnsi="HelveticaNeueLT Pro 55 Roman" w:cs="Calibri"/>
        </w:rPr>
      </w:pPr>
    </w:p>
    <w:p w14:paraId="6A6CE438" w14:textId="77777777" w:rsidR="0008279C" w:rsidRPr="00C60D42" w:rsidRDefault="0008279C" w:rsidP="00C60D42">
      <w:pPr>
        <w:spacing w:line="360" w:lineRule="auto"/>
        <w:jc w:val="both"/>
        <w:rPr>
          <w:rFonts w:ascii="HelveticaNeueLT Pro 55 Roman" w:hAnsi="HelveticaNeueLT Pro 55 Roman" w:cs="Calibri"/>
        </w:rPr>
      </w:pPr>
      <w:r w:rsidRPr="00C60D42">
        <w:rPr>
          <w:rFonts w:ascii="HelveticaNeueLT Pro 55 Roman" w:hAnsi="HelveticaNeueLT Pro 55 Roman" w:cs="Calibri"/>
        </w:rPr>
        <w:t>Der BfT betont in Übereinstimmung mit dem Weltverband der Tiergesundheitsindustrie und dem europäischen Verband der Tiergesundheitsindustrie die Wichtigkeit von Forschung, Produktion, Vertrieb und Werbung durch verantwortungsvolles Geschäftsverhalten sowie durch offene Informationspolitik, um damit das Vertrauen der Öffentlichkeit in Tierarzneimittel und ihre Hersteller zu stärken. Um dieses Vertrauen zu fördern, verpflichten sich die Mitgliedsunternehmens des BfT, die einer strengen gesetzlichen Überwachung unterliegen, die Regelungen des Verbandskodex zu beachten.</w:t>
      </w:r>
    </w:p>
    <w:p w14:paraId="6E7C152D" w14:textId="77777777" w:rsidR="0008279C" w:rsidRPr="00C60D42" w:rsidRDefault="0008279C" w:rsidP="00C60D42">
      <w:pPr>
        <w:spacing w:line="360" w:lineRule="auto"/>
        <w:jc w:val="both"/>
        <w:rPr>
          <w:rFonts w:ascii="HelveticaNeueLT Pro 55 Roman" w:hAnsi="HelveticaNeueLT Pro 55 Roman" w:cs="Calibri"/>
        </w:rPr>
      </w:pPr>
    </w:p>
    <w:p w14:paraId="33284E4F" w14:textId="77777777" w:rsidR="00C60D42" w:rsidRPr="00C60D42" w:rsidRDefault="0008279C" w:rsidP="00C60D42">
      <w:pPr>
        <w:spacing w:line="360" w:lineRule="auto"/>
        <w:jc w:val="both"/>
        <w:rPr>
          <w:rFonts w:ascii="HelveticaNeueLT Pro 55 Roman" w:hAnsi="HelveticaNeueLT Pro 55 Roman" w:cs="Calibri"/>
        </w:rPr>
      </w:pPr>
      <w:r w:rsidRPr="00C60D42">
        <w:rPr>
          <w:rFonts w:ascii="HelveticaNeueLT Pro 55 Roman" w:hAnsi="HelveticaNeueLT Pro 55 Roman" w:cs="Calibri"/>
        </w:rPr>
        <w:t xml:space="preserve">Mit der Verabschiedung des aktualisierten Verbandskodex erkennen die Tierarzneimittelunternehmen als Mitglieder des Bundesverbandes für Tiergesundheit die Vorgaben des Kodex als Marktverhaltensregeln als für sich verbindlich an. </w:t>
      </w:r>
    </w:p>
    <w:p w14:paraId="69FE8A9C" w14:textId="77777777" w:rsidR="0008279C" w:rsidRDefault="0008279C" w:rsidP="00C60D42">
      <w:pPr>
        <w:spacing w:line="360" w:lineRule="auto"/>
        <w:jc w:val="both"/>
        <w:rPr>
          <w:rFonts w:ascii="HelveticaNeueLT Pro 55 Roman" w:hAnsi="HelveticaNeueLT Pro 55 Roman"/>
        </w:rPr>
      </w:pPr>
    </w:p>
    <w:p w14:paraId="6518632D" w14:textId="77777777" w:rsidR="0008279C" w:rsidRDefault="0008279C" w:rsidP="00C60D42">
      <w:pPr>
        <w:spacing w:line="360" w:lineRule="auto"/>
        <w:jc w:val="both"/>
        <w:rPr>
          <w:rFonts w:ascii="HelveticaNeueLT Pro 55 Roman" w:hAnsi="HelveticaNeueLT Pro 55 Roman"/>
        </w:rPr>
      </w:pPr>
      <w:r>
        <w:rPr>
          <w:rFonts w:ascii="HelveticaNeueLT Pro 55 Roman" w:hAnsi="HelveticaNeueLT Pro 55 Roman"/>
        </w:rPr>
        <w:t xml:space="preserve">Der Verbandskodex ist veröffentlich auf der </w:t>
      </w:r>
      <w:hyperlink r:id="rId6" w:history="1">
        <w:r w:rsidRPr="005E47A2">
          <w:rPr>
            <w:rStyle w:val="Hyperlink"/>
            <w:rFonts w:ascii="HelveticaNeueLT Pro 55 Roman" w:hAnsi="HelveticaNeueLT Pro 55 Roman"/>
          </w:rPr>
          <w:t>BfT-Webseite</w:t>
        </w:r>
      </w:hyperlink>
    </w:p>
    <w:p w14:paraId="4B0B90E0" w14:textId="77777777" w:rsidR="00DC3AA7" w:rsidRPr="008F1CF6" w:rsidRDefault="00DC3AA7" w:rsidP="00C60D42">
      <w:pPr>
        <w:spacing w:after="240" w:line="360" w:lineRule="auto"/>
        <w:jc w:val="both"/>
        <w:rPr>
          <w:rFonts w:ascii="HelveticaNeueLT Pro 55 Roman" w:eastAsiaTheme="majorEastAsia" w:hAnsi="HelveticaNeueLT Pro 55 Roman" w:cstheme="majorBidi"/>
          <w:b/>
          <w:bCs/>
          <w:color w:val="006D6B"/>
          <w:sz w:val="28"/>
          <w:szCs w:val="28"/>
          <w:lang w:eastAsia="zh-CN"/>
        </w:rPr>
      </w:pPr>
    </w:p>
    <w:p w14:paraId="2B2EB66F" w14:textId="77777777" w:rsidR="00C60D42" w:rsidRDefault="00C60D42" w:rsidP="00C60D42">
      <w:pPr>
        <w:spacing w:line="360" w:lineRule="auto"/>
        <w:jc w:val="both"/>
        <w:rPr>
          <w:rFonts w:ascii="HelveticaNeueLT Pro 55 Roman" w:hAnsi="HelveticaNeueLT Pro 55 Roman" w:cs="Calibri"/>
          <w:b/>
          <w:bCs/>
        </w:rPr>
      </w:pPr>
    </w:p>
    <w:p w14:paraId="7F32DBF5" w14:textId="0BAA9BFB" w:rsidR="006C61B9" w:rsidRPr="008754BE" w:rsidRDefault="000360E2" w:rsidP="00C60D42">
      <w:pPr>
        <w:spacing w:line="360" w:lineRule="auto"/>
        <w:jc w:val="both"/>
        <w:rPr>
          <w:rFonts w:ascii="HelveticaNeueLT Pro 55 Roman" w:hAnsi="HelveticaNeueLT Pro 55 Roman" w:cs="Calibri"/>
          <w:b/>
          <w:bCs/>
        </w:rPr>
      </w:pPr>
      <w:r w:rsidRPr="008754BE">
        <w:rPr>
          <w:rFonts w:ascii="HelveticaNeueLT Pro 55 Roman" w:hAnsi="HelveticaNeueLT Pro 55 Roman" w:cs="Calibri"/>
          <w:b/>
          <w:bCs/>
        </w:rPr>
        <w:t>Hinweise für die Redaktion:</w:t>
      </w:r>
    </w:p>
    <w:p w14:paraId="2D41A7EA" w14:textId="451F8D6E" w:rsidR="0078220C" w:rsidRDefault="0078220C" w:rsidP="00C60D42">
      <w:pPr>
        <w:spacing w:after="240" w:line="360" w:lineRule="auto"/>
        <w:jc w:val="both"/>
        <w:rPr>
          <w:rFonts w:ascii="HelveticaNeueLT Pro 55 Roman" w:hAnsi="HelveticaNeueLT Pro 55 Roman" w:cs="Calibri"/>
        </w:rPr>
      </w:pPr>
      <w:r>
        <w:rPr>
          <w:rFonts w:ascii="HelveticaNeueLT Pro 55 Roman" w:hAnsi="HelveticaNeueLT Pro 55 Roman" w:cs="Calibri"/>
        </w:rPr>
        <w:t xml:space="preserve">Der Bundesverband für Tiergesundheit vertritt die führenden Hersteller von Tierarzneimitteln (Pharmazeutika und Biologika), Veterinärmedizintechnische Produkte, Diagnostika und </w:t>
      </w:r>
      <w:r w:rsidR="0041637A">
        <w:rPr>
          <w:rFonts w:ascii="HelveticaNeueLT Pro 55 Roman" w:hAnsi="HelveticaNeueLT Pro 55 Roman" w:cs="Calibri"/>
        </w:rPr>
        <w:br/>
      </w:r>
      <w:r w:rsidR="001F1F02">
        <w:rPr>
          <w:rFonts w:ascii="HelveticaNeueLT Pro 55 Roman" w:hAnsi="HelveticaNeueLT Pro 55 Roman" w:cs="Calibri"/>
        </w:rPr>
        <w:t xml:space="preserve">– </w:t>
      </w:r>
      <w:proofErr w:type="gramStart"/>
      <w:r w:rsidR="0099266C">
        <w:rPr>
          <w:rFonts w:ascii="HelveticaNeueLT Pro 55 Roman" w:hAnsi="HelveticaNeueLT Pro 55 Roman" w:cs="Calibri"/>
        </w:rPr>
        <w:t>soweit</w:t>
      </w:r>
      <w:proofErr w:type="gramEnd"/>
      <w:r w:rsidR="0042151C">
        <w:rPr>
          <w:rFonts w:ascii="HelveticaNeueLT Pro 55 Roman" w:hAnsi="HelveticaNeueLT Pro 55 Roman" w:cs="Calibri"/>
        </w:rPr>
        <w:t xml:space="preserve"> </w:t>
      </w:r>
      <w:r>
        <w:rPr>
          <w:rFonts w:ascii="HelveticaNeueLT Pro 55 Roman" w:hAnsi="HelveticaNeueLT Pro 55 Roman" w:cs="Calibri"/>
        </w:rPr>
        <w:t xml:space="preserve">von diesen bearbeitet </w:t>
      </w:r>
      <w:r w:rsidR="001F1F02">
        <w:rPr>
          <w:rFonts w:ascii="HelveticaNeueLT Pro 55 Roman" w:hAnsi="HelveticaNeueLT Pro 55 Roman" w:cs="Calibri"/>
        </w:rPr>
        <w:t xml:space="preserve">– </w:t>
      </w:r>
      <w:r>
        <w:rPr>
          <w:rFonts w:ascii="HelveticaNeueLT Pro 55 Roman" w:hAnsi="HelveticaNeueLT Pro 55 Roman" w:cs="Calibri"/>
        </w:rPr>
        <w:t>digitale Monitoring-Anwendungen, Arzneifuttermitteln, Futtermittelzusatzstoffen und Ergänzungsfuttermitteln in Deutschland.</w:t>
      </w:r>
      <w:r w:rsidR="0041637A">
        <w:rPr>
          <w:rFonts w:ascii="HelveticaNeueLT Pro 55 Roman" w:hAnsi="HelveticaNeueLT Pro 55 Roman" w:cs="Calibri"/>
        </w:rPr>
        <w:t xml:space="preserve"> </w:t>
      </w:r>
      <w:r>
        <w:rPr>
          <w:rFonts w:ascii="HelveticaNeueLT Pro 55 Roman" w:hAnsi="HelveticaNeueLT Pro 55 Roman" w:cs="Calibri"/>
        </w:rPr>
        <w:t xml:space="preserve">Die Mitgliedsunternehmen sind in der Entwicklung, Herstellung und Vermarktung dieser Produkte aktiv und repräsentieren dabei mehr als 95 % des deutschen Marktes. </w:t>
      </w:r>
      <w:r w:rsidR="006C61B9">
        <w:rPr>
          <w:rFonts w:ascii="HelveticaNeueLT Pro 55 Roman" w:hAnsi="HelveticaNeueLT Pro 55 Roman" w:cs="Calibri"/>
        </w:rPr>
        <w:t xml:space="preserve">Der Verband ist </w:t>
      </w:r>
      <w:r w:rsidR="00252912">
        <w:rPr>
          <w:rFonts w:ascii="HelveticaNeueLT Pro 55 Roman" w:hAnsi="HelveticaNeueLT Pro 55 Roman" w:cs="Calibri"/>
        </w:rPr>
        <w:t xml:space="preserve">als Interessenvertretung </w:t>
      </w:r>
      <w:r w:rsidR="006C61B9">
        <w:rPr>
          <w:rFonts w:ascii="HelveticaNeueLT Pro 55 Roman" w:hAnsi="HelveticaNeueLT Pro 55 Roman" w:cs="Calibri"/>
        </w:rPr>
        <w:t>in Deutschland und der EU</w:t>
      </w:r>
      <w:r w:rsidR="00252912">
        <w:rPr>
          <w:rFonts w:ascii="HelveticaNeueLT Pro 55 Roman" w:hAnsi="HelveticaNeueLT Pro 55 Roman" w:cs="Calibri"/>
        </w:rPr>
        <w:t xml:space="preserve"> offiziell registriert</w:t>
      </w:r>
      <w:r w:rsidR="006C61B9">
        <w:rPr>
          <w:rFonts w:ascii="HelveticaNeueLT Pro 55 Roman" w:hAnsi="HelveticaNeueLT Pro 55 Roman" w:cs="Calibri"/>
        </w:rPr>
        <w:t>.</w:t>
      </w:r>
    </w:p>
    <w:p w14:paraId="41FCA776" w14:textId="77777777" w:rsidR="00863AA2" w:rsidRDefault="00863AA2" w:rsidP="00863AA2">
      <w:pPr>
        <w:spacing w:line="360" w:lineRule="auto"/>
        <w:rPr>
          <w:rFonts w:ascii="Arial" w:hAnsi="Arial" w:cs="Arial"/>
        </w:rPr>
      </w:pPr>
      <w:r>
        <w:rPr>
          <w:rFonts w:ascii="Arial" w:hAnsi="Arial" w:cs="Arial"/>
        </w:rPr>
        <w:t>●</w:t>
      </w:r>
      <w:r>
        <w:rPr>
          <w:rFonts w:ascii="HelveticaNeueLT Pro 55 Roman" w:hAnsi="HelveticaNeueLT Pro 55 Roman" w:cs="Arial"/>
        </w:rPr>
        <w:t xml:space="preserve"> </w:t>
      </w:r>
      <w:r>
        <w:rPr>
          <w:rFonts w:ascii="Arial" w:hAnsi="Arial" w:cs="Arial"/>
        </w:rPr>
        <w:t>●</w:t>
      </w:r>
      <w:r>
        <w:rPr>
          <w:rFonts w:ascii="HelveticaNeueLT Pro 55 Roman" w:hAnsi="HelveticaNeueLT Pro 55 Roman" w:cs="Arial"/>
        </w:rPr>
        <w:t xml:space="preserve"> </w:t>
      </w:r>
      <w:r>
        <w:rPr>
          <w:rFonts w:ascii="Arial" w:hAnsi="Arial" w:cs="Arial"/>
        </w:rPr>
        <w:t>●</w:t>
      </w:r>
      <w:r>
        <w:rPr>
          <w:rFonts w:ascii="HelveticaNeueLT Pro 55 Roman" w:hAnsi="HelveticaNeueLT Pro 55 Roman" w:cs="Arial"/>
        </w:rPr>
        <w:t xml:space="preserve"> </w:t>
      </w:r>
      <w:r>
        <w:rPr>
          <w:rFonts w:ascii="Arial" w:hAnsi="Arial" w:cs="Arial"/>
        </w:rPr>
        <w:t>●</w:t>
      </w:r>
      <w:r>
        <w:rPr>
          <w:rFonts w:ascii="HelveticaNeueLT Pro 55 Roman" w:hAnsi="HelveticaNeueLT Pro 55 Roman" w:cs="Arial"/>
        </w:rPr>
        <w:t xml:space="preserve"> </w:t>
      </w:r>
      <w:r>
        <w:rPr>
          <w:rFonts w:ascii="Arial" w:hAnsi="Arial" w:cs="Arial"/>
        </w:rPr>
        <w:t>●</w:t>
      </w:r>
      <w:r>
        <w:rPr>
          <w:rFonts w:ascii="HelveticaNeueLT Pro 55 Roman" w:hAnsi="HelveticaNeueLT Pro 55 Roman" w:cs="Arial"/>
        </w:rPr>
        <w:t xml:space="preserve"> </w:t>
      </w:r>
      <w:r>
        <w:rPr>
          <w:rFonts w:ascii="Arial" w:hAnsi="Arial" w:cs="Arial"/>
        </w:rPr>
        <w:t>●</w:t>
      </w:r>
      <w:r>
        <w:rPr>
          <w:rFonts w:ascii="HelveticaNeueLT Pro 55 Roman" w:hAnsi="HelveticaNeueLT Pro 55 Roman" w:cs="Arial"/>
        </w:rPr>
        <w:t xml:space="preserve"> </w:t>
      </w:r>
      <w:r>
        <w:rPr>
          <w:rFonts w:ascii="Arial" w:hAnsi="Arial" w:cs="Arial"/>
        </w:rPr>
        <w:t>●</w:t>
      </w:r>
      <w:r>
        <w:rPr>
          <w:rFonts w:ascii="HelveticaNeueLT Pro 55 Roman" w:hAnsi="HelveticaNeueLT Pro 55 Roman" w:cs="Arial"/>
        </w:rPr>
        <w:t xml:space="preserve"> </w:t>
      </w:r>
      <w:r>
        <w:rPr>
          <w:rFonts w:ascii="Arial" w:hAnsi="Arial" w:cs="Arial"/>
        </w:rPr>
        <w:t>●</w:t>
      </w:r>
    </w:p>
    <w:p w14:paraId="1522C5E4" w14:textId="77777777" w:rsidR="0078220C" w:rsidRDefault="0078220C" w:rsidP="00C60D42">
      <w:pPr>
        <w:jc w:val="both"/>
        <w:rPr>
          <w:rFonts w:ascii="HelveticaNeueLT Pro 55 Roman" w:hAnsi="HelveticaNeueLT Pro 55 Roman"/>
        </w:rPr>
      </w:pPr>
    </w:p>
    <w:p w14:paraId="391789F2" w14:textId="77777777" w:rsidR="00F60A02" w:rsidRDefault="0078220C" w:rsidP="00C60D42">
      <w:pPr>
        <w:spacing w:line="360" w:lineRule="auto"/>
        <w:rPr>
          <w:rFonts w:ascii="HelveticaNeueLT Pro 55 Roman" w:hAnsi="HelveticaNeueLT Pro 55 Roman" w:cs="Arial"/>
        </w:rPr>
      </w:pPr>
      <w:r>
        <w:rPr>
          <w:rFonts w:ascii="HelveticaNeueLT Pro 55 Roman" w:hAnsi="HelveticaNeueLT Pro 55 Roman" w:cs="Arial"/>
        </w:rPr>
        <w:t>Weitere Informationen:</w:t>
      </w:r>
    </w:p>
    <w:p w14:paraId="33997219" w14:textId="06417E56" w:rsidR="0078220C" w:rsidRPr="00F60A02" w:rsidRDefault="0078220C" w:rsidP="00C60D42">
      <w:pPr>
        <w:spacing w:line="360" w:lineRule="auto"/>
        <w:rPr>
          <w:rFonts w:ascii="HelveticaNeueLT Pro 55 Roman" w:eastAsia="Calibri" w:hAnsi="HelveticaNeueLT Pro 55 Roman" w:cs="Calibri"/>
          <w:noProof/>
        </w:rPr>
      </w:pPr>
      <w:r>
        <w:rPr>
          <w:rFonts w:ascii="HelveticaNeueLT Pro 55 Roman" w:hAnsi="HelveticaNeueLT Pro 55 Roman" w:cs="Arial"/>
        </w:rPr>
        <w:t>Bundesverband für Tiergesundheit e.V.</w:t>
      </w:r>
      <w:r w:rsidR="00F60A02">
        <w:rPr>
          <w:rFonts w:ascii="HelveticaNeueLT Pro 55 Roman" w:hAnsi="HelveticaNeueLT Pro 55 Roman" w:cs="Arial"/>
        </w:rPr>
        <w:t xml:space="preserve"> | </w:t>
      </w:r>
      <w:r>
        <w:rPr>
          <w:rFonts w:ascii="HelveticaNeueLT Pro 55 Roman" w:hAnsi="HelveticaNeueLT Pro 55 Roman" w:cs="Arial"/>
        </w:rPr>
        <w:t xml:space="preserve">Dr. Sabine Schüller </w:t>
      </w:r>
      <w:r w:rsidR="00F60A02">
        <w:rPr>
          <w:rFonts w:ascii="HelveticaNeueLT Pro 55 Roman" w:hAnsi="HelveticaNeueLT Pro 55 Roman" w:cs="Arial"/>
        </w:rPr>
        <w:t>|</w:t>
      </w:r>
      <w:r w:rsidR="00F60A02">
        <w:rPr>
          <w:rFonts w:ascii="HelveticaNeueLT Pro 55 Roman" w:eastAsia="Calibri" w:hAnsi="HelveticaNeueLT Pro 55 Roman" w:cs="Calibri"/>
          <w:noProof/>
        </w:rPr>
        <w:t xml:space="preserve"> </w:t>
      </w:r>
      <w:r>
        <w:rPr>
          <w:rFonts w:ascii="HelveticaNeueLT Pro 55 Roman" w:hAnsi="HelveticaNeueLT Pro 55 Roman" w:cs="Arial"/>
        </w:rPr>
        <w:t>Tel. 0228 / 31 82 96</w:t>
      </w:r>
      <w:r w:rsidR="00F60A02">
        <w:rPr>
          <w:rFonts w:ascii="HelveticaNeueLT Pro 55 Roman" w:hAnsi="HelveticaNeueLT Pro 55 Roman" w:cs="Arial"/>
        </w:rPr>
        <w:t xml:space="preserve"> |</w:t>
      </w:r>
      <w:r w:rsidR="00F60A02">
        <w:rPr>
          <w:rFonts w:ascii="HelveticaNeueLT Pro 55 Roman" w:hAnsi="HelveticaNeueLT Pro 55 Roman" w:cs="Arial"/>
        </w:rPr>
        <w:br/>
      </w:r>
      <w:r>
        <w:rPr>
          <w:rFonts w:ascii="HelveticaNeueLT Pro 55 Roman" w:hAnsi="HelveticaNeueLT Pro 55 Roman" w:cs="Arial"/>
        </w:rPr>
        <w:t xml:space="preserve">E-Mail </w:t>
      </w:r>
      <w:hyperlink r:id="rId7" w:history="1">
        <w:r w:rsidR="00F60A02" w:rsidRPr="006C6A3A">
          <w:rPr>
            <w:rStyle w:val="Hyperlink"/>
            <w:rFonts w:ascii="HelveticaNeueLT Pro 55 Roman" w:hAnsi="HelveticaNeueLT Pro 55 Roman" w:cs="Arial"/>
          </w:rPr>
          <w:t>bft@bft-online.de</w:t>
        </w:r>
      </w:hyperlink>
      <w:r w:rsidR="00F60A02">
        <w:rPr>
          <w:rFonts w:ascii="HelveticaNeueLT Pro 55 Roman" w:hAnsi="HelveticaNeueLT Pro 55 Roman" w:cs="Arial"/>
        </w:rPr>
        <w:t xml:space="preserve"> |</w:t>
      </w:r>
      <w:r>
        <w:rPr>
          <w:rFonts w:ascii="HelveticaNeueLT Pro 55 Roman" w:hAnsi="HelveticaNeueLT Pro 55 Roman" w:cs="Arial"/>
        </w:rPr>
        <w:t xml:space="preserve"> </w:t>
      </w:r>
      <w:hyperlink r:id="rId8" w:history="1">
        <w:r>
          <w:rPr>
            <w:rStyle w:val="Hyperlink"/>
            <w:rFonts w:ascii="HelveticaNeueLT Pro 55 Roman" w:hAnsi="HelveticaNeueLT Pro 55 Roman" w:cs="Arial"/>
          </w:rPr>
          <w:t>www.bft-online.de</w:t>
        </w:r>
      </w:hyperlink>
      <w:r>
        <w:rPr>
          <w:rFonts w:ascii="HelveticaNeueLT Pro 55 Roman" w:hAnsi="HelveticaNeueLT Pro 55 Roman" w:cs="Arial"/>
        </w:rPr>
        <w:br/>
      </w:r>
    </w:p>
    <w:p w14:paraId="6C1D35F5" w14:textId="7BAC7D54" w:rsidR="0078220C" w:rsidRDefault="003B299B" w:rsidP="00C60D42">
      <w:pPr>
        <w:spacing w:line="360" w:lineRule="auto"/>
        <w:rPr>
          <w:rFonts w:ascii="Arial" w:hAnsi="Arial" w:cs="Arial"/>
        </w:rPr>
      </w:pPr>
      <w:r>
        <w:rPr>
          <w:rFonts w:ascii="Arial" w:hAnsi="Arial" w:cs="Arial"/>
        </w:rPr>
        <w:t>292</w:t>
      </w:r>
      <w:r w:rsidR="0078220C">
        <w:rPr>
          <w:rFonts w:ascii="Arial" w:hAnsi="Arial" w:cs="Arial"/>
        </w:rPr>
        <w:t xml:space="preserve"> Wörter und </w:t>
      </w:r>
      <w:r>
        <w:rPr>
          <w:rFonts w:ascii="Arial" w:hAnsi="Arial" w:cs="Arial"/>
        </w:rPr>
        <w:t>2</w:t>
      </w:r>
      <w:r w:rsidR="00014625">
        <w:rPr>
          <w:rFonts w:ascii="Arial" w:hAnsi="Arial" w:cs="Arial"/>
        </w:rPr>
        <w:t>.</w:t>
      </w:r>
      <w:r>
        <w:rPr>
          <w:rFonts w:ascii="Arial" w:hAnsi="Arial" w:cs="Arial"/>
        </w:rPr>
        <w:t>611</w:t>
      </w:r>
      <w:r w:rsidR="0078220C">
        <w:rPr>
          <w:rFonts w:ascii="Arial" w:hAnsi="Arial" w:cs="Arial"/>
        </w:rPr>
        <w:t xml:space="preserve"> Zeichen</w:t>
      </w:r>
    </w:p>
    <w:p w14:paraId="60E1139B" w14:textId="05610BEA" w:rsidR="002D770A" w:rsidRPr="00F775E3" w:rsidRDefault="002D770A" w:rsidP="00C60D42">
      <w:pPr>
        <w:spacing w:line="360" w:lineRule="auto"/>
        <w:rPr>
          <w:rFonts w:ascii="HelveticaNeueLT Pro 55 Roman" w:hAnsi="HelveticaNeueLT Pro 55 Roman"/>
        </w:rPr>
      </w:pPr>
    </w:p>
    <w:sectPr w:rsidR="002D770A" w:rsidRPr="00F775E3" w:rsidSect="00F60A02">
      <w:head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BCE5E" w14:textId="77777777" w:rsidR="00AA63C8" w:rsidRDefault="00AA63C8" w:rsidP="00D02FA6">
      <w:r>
        <w:separator/>
      </w:r>
    </w:p>
  </w:endnote>
  <w:endnote w:type="continuationSeparator" w:id="0">
    <w:p w14:paraId="0BAC8483" w14:textId="77777777" w:rsidR="00AA63C8" w:rsidRDefault="00AA63C8" w:rsidP="00D02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Pro 55 Roman">
    <w:panose1 w:val="020B0604020202020204"/>
    <w:charset w:val="00"/>
    <w:family w:val="swiss"/>
    <w:pitch w:val="variable"/>
    <w:sig w:usb0="A00000A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948F6" w14:textId="77777777" w:rsidR="00AA63C8" w:rsidRDefault="00AA63C8" w:rsidP="00D02FA6">
      <w:r>
        <w:separator/>
      </w:r>
    </w:p>
  </w:footnote>
  <w:footnote w:type="continuationSeparator" w:id="0">
    <w:p w14:paraId="703BA6D4" w14:textId="77777777" w:rsidR="00AA63C8" w:rsidRDefault="00AA63C8" w:rsidP="00D02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3174C" w14:textId="0FCCE452" w:rsidR="00D02FA6" w:rsidRDefault="00D02FA6">
    <w:pPr>
      <w:pStyle w:val="Kopfzeile"/>
    </w:pPr>
    <w:r>
      <w:rPr>
        <w:noProof/>
        <w:lang w:eastAsia="de-DE"/>
      </w:rPr>
      <w:drawing>
        <wp:anchor distT="0" distB="0" distL="114300" distR="114300" simplePos="0" relativeHeight="251658752" behindDoc="1" locked="1" layoutInCell="1" allowOverlap="0" wp14:anchorId="3C7A7BCF" wp14:editId="5B1E99E0">
          <wp:simplePos x="0" y="0"/>
          <wp:positionH relativeFrom="column">
            <wp:posOffset>-1272540</wp:posOffset>
          </wp:positionH>
          <wp:positionV relativeFrom="paragraph">
            <wp:posOffset>-655955</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p w14:paraId="6F196446" w14:textId="77777777" w:rsidR="00D02FA6" w:rsidRDefault="00D02FA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D770A"/>
    <w:rsid w:val="000078C3"/>
    <w:rsid w:val="00007BD5"/>
    <w:rsid w:val="00014625"/>
    <w:rsid w:val="00034BD1"/>
    <w:rsid w:val="000360E2"/>
    <w:rsid w:val="0008279C"/>
    <w:rsid w:val="0008652C"/>
    <w:rsid w:val="000A340B"/>
    <w:rsid w:val="000D1C2F"/>
    <w:rsid w:val="000E1134"/>
    <w:rsid w:val="0014608C"/>
    <w:rsid w:val="00163BCE"/>
    <w:rsid w:val="001F1F02"/>
    <w:rsid w:val="001F5958"/>
    <w:rsid w:val="00225730"/>
    <w:rsid w:val="00234D12"/>
    <w:rsid w:val="00246968"/>
    <w:rsid w:val="00247C90"/>
    <w:rsid w:val="00252912"/>
    <w:rsid w:val="00271C19"/>
    <w:rsid w:val="002D770A"/>
    <w:rsid w:val="003535D3"/>
    <w:rsid w:val="003A3DBC"/>
    <w:rsid w:val="003B06A2"/>
    <w:rsid w:val="003B299B"/>
    <w:rsid w:val="003B4895"/>
    <w:rsid w:val="003C2C30"/>
    <w:rsid w:val="003D7854"/>
    <w:rsid w:val="0041637A"/>
    <w:rsid w:val="0042151C"/>
    <w:rsid w:val="005713DE"/>
    <w:rsid w:val="005810B6"/>
    <w:rsid w:val="00583F4C"/>
    <w:rsid w:val="00675D0E"/>
    <w:rsid w:val="006A1C70"/>
    <w:rsid w:val="006C61B9"/>
    <w:rsid w:val="006E0B25"/>
    <w:rsid w:val="006F6191"/>
    <w:rsid w:val="007155CB"/>
    <w:rsid w:val="0072365C"/>
    <w:rsid w:val="00750F96"/>
    <w:rsid w:val="0078220C"/>
    <w:rsid w:val="007A10BB"/>
    <w:rsid w:val="007C7DFA"/>
    <w:rsid w:val="007D1B2E"/>
    <w:rsid w:val="008129D3"/>
    <w:rsid w:val="00826AFF"/>
    <w:rsid w:val="00863AA2"/>
    <w:rsid w:val="008754BE"/>
    <w:rsid w:val="00895D44"/>
    <w:rsid w:val="008B6C65"/>
    <w:rsid w:val="008F1CF6"/>
    <w:rsid w:val="00901D1B"/>
    <w:rsid w:val="0099266C"/>
    <w:rsid w:val="00993773"/>
    <w:rsid w:val="009B4B68"/>
    <w:rsid w:val="00AA151B"/>
    <w:rsid w:val="00AA63C8"/>
    <w:rsid w:val="00AB4E0C"/>
    <w:rsid w:val="00B54BF8"/>
    <w:rsid w:val="00C10650"/>
    <w:rsid w:val="00C60D42"/>
    <w:rsid w:val="00D02FA6"/>
    <w:rsid w:val="00D51E2F"/>
    <w:rsid w:val="00D66949"/>
    <w:rsid w:val="00DA6102"/>
    <w:rsid w:val="00DC3AA7"/>
    <w:rsid w:val="00E346B1"/>
    <w:rsid w:val="00E46BCC"/>
    <w:rsid w:val="00F2562C"/>
    <w:rsid w:val="00F60A02"/>
    <w:rsid w:val="00F775E3"/>
    <w:rsid w:val="00F92AD1"/>
    <w:rsid w:val="00FE13D2"/>
    <w:rsid w:val="00FF70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9B819"/>
  <w15:chartTrackingRefBased/>
  <w15:docId w15:val="{73439023-380A-43C6-8B06-BECEB3671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3F4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8220C"/>
    <w:rPr>
      <w:color w:val="0000FF" w:themeColor="hyperlink"/>
      <w:u w:val="single"/>
    </w:rPr>
  </w:style>
  <w:style w:type="character" w:styleId="NichtaufgelsteErwhnung">
    <w:name w:val="Unresolved Mention"/>
    <w:basedOn w:val="Absatz-Standardschriftart"/>
    <w:uiPriority w:val="99"/>
    <w:semiHidden/>
    <w:unhideWhenUsed/>
    <w:rsid w:val="00F60A02"/>
    <w:rPr>
      <w:color w:val="605E5C"/>
      <w:shd w:val="clear" w:color="auto" w:fill="E1DFDD"/>
    </w:rPr>
  </w:style>
  <w:style w:type="paragraph" w:styleId="Kopfzeile">
    <w:name w:val="header"/>
    <w:basedOn w:val="Standard"/>
    <w:link w:val="KopfzeileZchn"/>
    <w:uiPriority w:val="99"/>
    <w:unhideWhenUsed/>
    <w:rsid w:val="00D02FA6"/>
    <w:pPr>
      <w:tabs>
        <w:tab w:val="center" w:pos="4536"/>
        <w:tab w:val="right" w:pos="9072"/>
      </w:tabs>
    </w:pPr>
  </w:style>
  <w:style w:type="character" w:customStyle="1" w:styleId="KopfzeileZchn">
    <w:name w:val="Kopfzeile Zchn"/>
    <w:basedOn w:val="Absatz-Standardschriftart"/>
    <w:link w:val="Kopfzeile"/>
    <w:uiPriority w:val="99"/>
    <w:rsid w:val="00D02FA6"/>
  </w:style>
  <w:style w:type="paragraph" w:styleId="Fuzeile">
    <w:name w:val="footer"/>
    <w:basedOn w:val="Standard"/>
    <w:link w:val="FuzeileZchn"/>
    <w:uiPriority w:val="99"/>
    <w:unhideWhenUsed/>
    <w:rsid w:val="00D02FA6"/>
    <w:pPr>
      <w:tabs>
        <w:tab w:val="center" w:pos="4536"/>
        <w:tab w:val="right" w:pos="9072"/>
      </w:tabs>
    </w:pPr>
  </w:style>
  <w:style w:type="character" w:customStyle="1" w:styleId="FuzeileZchn">
    <w:name w:val="Fußzeile Zchn"/>
    <w:basedOn w:val="Absatz-Standardschriftart"/>
    <w:link w:val="Fuzeile"/>
    <w:uiPriority w:val="99"/>
    <w:rsid w:val="00D02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17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t-online.de" TargetMode="External"/><Relationship Id="rId3" Type="http://schemas.openxmlformats.org/officeDocument/2006/relationships/webSettings" Target="webSettings.xml"/><Relationship Id="rId7" Type="http://schemas.openxmlformats.org/officeDocument/2006/relationships/hyperlink" Target="mailto:bft@bft-online.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ft-online.de/der-verband/kode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2565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BfT</dc:creator>
  <cp:keywords/>
  <dc:description/>
  <cp:lastModifiedBy>BfT</cp:lastModifiedBy>
  <cp:revision>41</cp:revision>
  <dcterms:created xsi:type="dcterms:W3CDTF">2022-04-21T08:16:00Z</dcterms:created>
  <dcterms:modified xsi:type="dcterms:W3CDTF">2022-05-12T08:40:00Z</dcterms:modified>
</cp:coreProperties>
</file>